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F92" w:rsidRPr="00D81F92" w:rsidRDefault="00F01B03" w:rsidP="00F01B03">
      <w:pPr>
        <w:suppressLineNumbers/>
        <w:spacing w:after="0" w:line="240" w:lineRule="auto"/>
        <w:jc w:val="center"/>
        <w:rPr>
          <w:rFonts w:ascii="Times New Roman" w:eastAsia="Times New Roman" w:hAnsi="Times New Roman" w:cs="David"/>
          <w:noProof/>
          <w:sz w:val="24"/>
          <w:szCs w:val="24"/>
        </w:rPr>
      </w:pPr>
      <w:bookmarkStart w:id="0" w:name="_GoBack"/>
      <w:bookmarkEnd w:id="0"/>
      <w:r>
        <w:rPr>
          <w:noProof/>
        </w:rPr>
        <w:drawing>
          <wp:inline distT="0" distB="0" distL="0" distR="0" wp14:anchorId="1FA0F180" wp14:editId="27ED1931">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tblStyle w:val="a3"/>
        <w:bidiVisual/>
        <w:tblW w:w="8382"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5"/>
        <w:gridCol w:w="2478"/>
        <w:gridCol w:w="5571"/>
        <w:gridCol w:w="28"/>
      </w:tblGrid>
      <w:tr w:rsidR="00D81F92" w:rsidRPr="00D81F92" w:rsidTr="00F01B03">
        <w:trPr>
          <w:jc w:val="center"/>
        </w:trPr>
        <w:tc>
          <w:tcPr>
            <w:tcW w:w="305" w:type="dxa"/>
            <w:hideMark/>
          </w:tcPr>
          <w:p w:rsidR="00F01B03" w:rsidRDefault="00F01B03" w:rsidP="00D81F92">
            <w:pPr>
              <w:suppressLineNumbers/>
              <w:jc w:val="both"/>
              <w:rPr>
                <w:rFonts w:ascii="Arial" w:hAnsi="Arial" w:cs="David"/>
                <w:b/>
                <w:bCs/>
                <w:noProof/>
                <w:sz w:val="26"/>
                <w:szCs w:val="26"/>
                <w:rtl/>
              </w:rPr>
            </w:pPr>
          </w:p>
          <w:p w:rsidR="00F01B03" w:rsidRDefault="00F01B03" w:rsidP="00D81F92">
            <w:pPr>
              <w:suppressLineNumbers/>
              <w:jc w:val="both"/>
              <w:rPr>
                <w:rFonts w:ascii="Arial" w:hAnsi="Arial" w:cs="David"/>
                <w:b/>
                <w:bCs/>
                <w:noProof/>
                <w:sz w:val="26"/>
                <w:szCs w:val="26"/>
                <w:rtl/>
              </w:rPr>
            </w:pPr>
          </w:p>
          <w:p w:rsidR="00F01B03" w:rsidRDefault="00F01B03" w:rsidP="00D81F92">
            <w:pPr>
              <w:suppressLineNumbers/>
              <w:jc w:val="both"/>
              <w:rPr>
                <w:rFonts w:ascii="Arial" w:hAnsi="Arial" w:cs="David"/>
                <w:b/>
                <w:bCs/>
                <w:noProof/>
                <w:sz w:val="26"/>
                <w:szCs w:val="26"/>
                <w:rtl/>
              </w:rPr>
            </w:pPr>
          </w:p>
          <w:p w:rsidR="00F01B03" w:rsidRDefault="00F01B03" w:rsidP="00D81F92">
            <w:pPr>
              <w:suppressLineNumbers/>
              <w:jc w:val="both"/>
              <w:rPr>
                <w:rFonts w:ascii="Arial" w:hAnsi="Arial" w:cs="David"/>
                <w:b/>
                <w:bCs/>
                <w:noProof/>
                <w:sz w:val="26"/>
                <w:szCs w:val="26"/>
                <w:rtl/>
              </w:rPr>
            </w:pPr>
          </w:p>
          <w:p w:rsidR="00F01B03" w:rsidRDefault="00F01B03" w:rsidP="00D81F92">
            <w:pPr>
              <w:suppressLineNumbers/>
              <w:jc w:val="both"/>
              <w:rPr>
                <w:rFonts w:ascii="Arial" w:hAnsi="Arial" w:cs="David"/>
                <w:b/>
                <w:bCs/>
                <w:noProof/>
                <w:sz w:val="26"/>
                <w:szCs w:val="26"/>
                <w:rtl/>
              </w:rPr>
            </w:pPr>
          </w:p>
          <w:p w:rsidR="00D81F92" w:rsidRPr="00D81F92" w:rsidRDefault="00F01B03" w:rsidP="00D81F92">
            <w:pPr>
              <w:suppressLineNumbers/>
              <w:jc w:val="both"/>
              <w:rPr>
                <w:rFonts w:ascii="Arial" w:hAnsi="Arial" w:cs="David"/>
                <w:b/>
                <w:bCs/>
                <w:noProof/>
                <w:sz w:val="26"/>
                <w:szCs w:val="26"/>
                <w:rtl/>
              </w:rPr>
            </w:pPr>
            <w:r>
              <w:rPr>
                <w:rFonts w:ascii="Arial" w:hAnsi="Arial" w:cs="David" w:hint="cs"/>
                <w:b/>
                <w:bCs/>
                <w:noProof/>
                <w:sz w:val="26"/>
                <w:szCs w:val="26"/>
                <w:rtl/>
              </w:rPr>
              <w:t xml:space="preserve">    </w:t>
            </w:r>
          </w:p>
        </w:tc>
        <w:tc>
          <w:tcPr>
            <w:tcW w:w="8077" w:type="dxa"/>
            <w:gridSpan w:val="3"/>
          </w:tcPr>
          <w:p w:rsidR="00F01B03" w:rsidRDefault="00F01B03" w:rsidP="00D81F92">
            <w:pPr>
              <w:suppressLineNumbers/>
              <w:jc w:val="left"/>
              <w:rPr>
                <w:rFonts w:ascii="Arial" w:hAnsi="Arial" w:cs="David"/>
                <w:b/>
                <w:bCs/>
                <w:noProof/>
                <w:sz w:val="26"/>
                <w:szCs w:val="26"/>
                <w:rtl/>
              </w:rPr>
            </w:pPr>
          </w:p>
          <w:p w:rsidR="00F01B03" w:rsidRDefault="00F01B03" w:rsidP="00F01B03">
            <w:pPr>
              <w:suppressLineNumbers/>
              <w:jc w:val="center"/>
              <w:rPr>
                <w:rFonts w:ascii="Arial" w:hAnsi="Arial" w:cs="David"/>
                <w:b/>
                <w:bCs/>
                <w:noProof/>
                <w:sz w:val="26"/>
                <w:szCs w:val="26"/>
                <w:rtl/>
              </w:rPr>
            </w:pPr>
            <w:r>
              <w:rPr>
                <w:rFonts w:ascii="Tahoma" w:hAnsi="Tahoma"/>
                <w:color w:val="000080"/>
                <w:sz w:val="32"/>
                <w:szCs w:val="32"/>
                <w:rtl/>
              </w:rPr>
              <w:t>בית המשפט המחוזי בבאר שבע</w:t>
            </w:r>
          </w:p>
          <w:p w:rsidR="00F01B03" w:rsidRDefault="00F01B03" w:rsidP="00D81F92">
            <w:pPr>
              <w:suppressLineNumbers/>
              <w:jc w:val="left"/>
              <w:rPr>
                <w:rFonts w:ascii="Arial" w:hAnsi="Arial" w:cs="David"/>
                <w:b/>
                <w:bCs/>
                <w:noProof/>
                <w:sz w:val="26"/>
                <w:szCs w:val="26"/>
                <w:rtl/>
              </w:rPr>
            </w:pPr>
          </w:p>
          <w:p w:rsidR="00F01B03" w:rsidRDefault="00F01B03" w:rsidP="00D81F92">
            <w:pPr>
              <w:suppressLineNumbers/>
              <w:jc w:val="left"/>
              <w:rPr>
                <w:rFonts w:ascii="Arial" w:hAnsi="Arial" w:cs="David"/>
                <w:b/>
                <w:bCs/>
                <w:noProof/>
                <w:sz w:val="26"/>
                <w:szCs w:val="26"/>
                <w:rtl/>
              </w:rPr>
            </w:pPr>
          </w:p>
          <w:p w:rsidR="00F01B03" w:rsidRDefault="007F7E8E" w:rsidP="00D81F92">
            <w:pPr>
              <w:suppressLineNumbers/>
              <w:jc w:val="left"/>
              <w:rPr>
                <w:rFonts w:ascii="Arial" w:hAnsi="Arial" w:cs="David"/>
                <w:b/>
                <w:bCs/>
                <w:noProof/>
                <w:sz w:val="26"/>
                <w:szCs w:val="26"/>
                <w:rtl/>
              </w:rPr>
            </w:pPr>
            <w:r>
              <w:rPr>
                <w:rFonts w:ascii="Arial" w:hAnsi="Arial" w:cs="David" w:hint="cs"/>
                <w:b/>
                <w:bCs/>
                <w:noProof/>
                <w:sz w:val="26"/>
                <w:szCs w:val="26"/>
                <w:rtl/>
              </w:rPr>
              <w:t>רמ"ש 28848-04-23 פלוני נ' פלוני ואח'</w:t>
            </w:r>
          </w:p>
          <w:p w:rsidR="007F7E8E" w:rsidRDefault="007F7E8E" w:rsidP="00D81F92">
            <w:pPr>
              <w:suppressLineNumbers/>
              <w:jc w:val="left"/>
              <w:rPr>
                <w:rFonts w:ascii="Arial" w:hAnsi="Arial" w:cs="David"/>
                <w:b/>
                <w:bCs/>
                <w:noProof/>
                <w:sz w:val="26"/>
                <w:szCs w:val="26"/>
                <w:rtl/>
              </w:rPr>
            </w:pPr>
          </w:p>
          <w:p w:rsidR="007F7E8E" w:rsidRDefault="007F7E8E" w:rsidP="00D81F92">
            <w:pPr>
              <w:suppressLineNumbers/>
              <w:jc w:val="left"/>
              <w:rPr>
                <w:rFonts w:ascii="Arial" w:hAnsi="Arial" w:cs="David"/>
                <w:b/>
                <w:bCs/>
                <w:noProof/>
                <w:sz w:val="26"/>
                <w:szCs w:val="26"/>
                <w:rtl/>
              </w:rPr>
            </w:pPr>
          </w:p>
          <w:p w:rsidR="00D81F92" w:rsidRPr="00D81F92" w:rsidRDefault="00F01B03" w:rsidP="00F01B03">
            <w:pPr>
              <w:suppressLineNumbers/>
              <w:jc w:val="left"/>
              <w:rPr>
                <w:rFonts w:ascii="Arial" w:hAnsi="Arial" w:cs="David"/>
                <w:b/>
                <w:bCs/>
                <w:noProof/>
                <w:sz w:val="28"/>
                <w:szCs w:val="28"/>
                <w:rtl/>
              </w:rPr>
            </w:pPr>
            <w:r w:rsidRPr="00F01B03">
              <w:rPr>
                <w:rFonts w:ascii="Arial" w:hAnsi="Arial" w:cs="David" w:hint="cs"/>
                <w:b/>
                <w:bCs/>
                <w:noProof/>
                <w:sz w:val="28"/>
                <w:szCs w:val="28"/>
                <w:rtl/>
              </w:rPr>
              <w:t xml:space="preserve">בפני </w:t>
            </w:r>
            <w:r w:rsidR="00D81F92" w:rsidRPr="00D81F92">
              <w:rPr>
                <w:rFonts w:ascii="Arial" w:hAnsi="Arial" w:cs="David"/>
                <w:b/>
                <w:bCs/>
                <w:noProof/>
                <w:sz w:val="28"/>
                <w:szCs w:val="28"/>
                <w:rtl/>
              </w:rPr>
              <w:t>כבוד ה</w:t>
            </w:r>
            <w:sdt>
              <w:sdtPr>
                <w:rPr>
                  <w:rFonts w:cs="David"/>
                  <w:b/>
                  <w:bCs/>
                  <w:noProof/>
                  <w:sz w:val="28"/>
                  <w:szCs w:val="28"/>
                  <w:rtl/>
                </w:rPr>
                <w:alias w:val="1574"/>
                <w:tag w:val="1574"/>
                <w:id w:val="414602899"/>
                <w:text w:multiLine="1"/>
              </w:sdtPr>
              <w:sdtEndPr/>
              <w:sdtContent>
                <w:r w:rsidR="00D81F92" w:rsidRPr="00D81F92">
                  <w:rPr>
                    <w:rFonts w:cs="David"/>
                    <w:b/>
                    <w:bCs/>
                    <w:noProof/>
                    <w:sz w:val="28"/>
                    <w:szCs w:val="28"/>
                    <w:rtl/>
                  </w:rPr>
                  <w:t>שופטת</w:t>
                </w:r>
              </w:sdtContent>
            </w:sdt>
            <w:r w:rsidR="00D81F92" w:rsidRPr="00D81F92">
              <w:rPr>
                <w:rFonts w:ascii="Arial" w:hAnsi="Arial" w:cs="David"/>
                <w:b/>
                <w:bCs/>
                <w:noProof/>
                <w:sz w:val="28"/>
                <w:szCs w:val="28"/>
                <w:rtl/>
              </w:rPr>
              <w:t xml:space="preserve"> </w:t>
            </w:r>
            <w:sdt>
              <w:sdtPr>
                <w:rPr>
                  <w:rFonts w:cs="David"/>
                  <w:b/>
                  <w:bCs/>
                  <w:noProof/>
                  <w:sz w:val="28"/>
                  <w:szCs w:val="28"/>
                  <w:rtl/>
                </w:rPr>
                <w:alias w:val="1573"/>
                <w:tag w:val="1573"/>
                <w:id w:val="-1751030614"/>
                <w:text w:multiLine="1"/>
              </w:sdtPr>
              <w:sdtEndPr/>
              <w:sdtContent>
                <w:r w:rsidR="00D81F92" w:rsidRPr="00D81F92">
                  <w:rPr>
                    <w:rFonts w:cs="David"/>
                    <w:b/>
                    <w:bCs/>
                    <w:noProof/>
                    <w:sz w:val="28"/>
                    <w:szCs w:val="28"/>
                    <w:rtl/>
                  </w:rPr>
                  <w:t>פאני גילת כהן</w:t>
                </w:r>
              </w:sdtContent>
            </w:sdt>
          </w:p>
          <w:p w:rsidR="00D81F92" w:rsidRPr="00D81F92" w:rsidRDefault="00D81F92" w:rsidP="00D81F92">
            <w:pPr>
              <w:suppressLineNumbers/>
              <w:rPr>
                <w:rFonts w:cs="David"/>
                <w:b/>
                <w:bCs/>
                <w:noProof/>
                <w:sz w:val="26"/>
                <w:szCs w:val="26"/>
                <w:rtl/>
              </w:rPr>
            </w:pPr>
          </w:p>
        </w:tc>
      </w:tr>
      <w:tr w:rsidR="00D81F92" w:rsidRPr="00D81F92" w:rsidTr="00F01B03">
        <w:trPr>
          <w:gridAfter w:val="1"/>
          <w:wAfter w:w="28" w:type="dxa"/>
          <w:jc w:val="center"/>
        </w:trPr>
        <w:tc>
          <w:tcPr>
            <w:tcW w:w="2783" w:type="dxa"/>
            <w:gridSpan w:val="2"/>
          </w:tcPr>
          <w:p w:rsidR="00D81F92" w:rsidRPr="00D81F92" w:rsidRDefault="00D81F92" w:rsidP="00D81F92">
            <w:pPr>
              <w:suppressLineNumbers/>
              <w:rPr>
                <w:rFonts w:cs="David"/>
                <w:noProof/>
                <w:sz w:val="24"/>
                <w:szCs w:val="24"/>
              </w:rPr>
            </w:pPr>
          </w:p>
          <w:sdt>
            <w:sdtPr>
              <w:rPr>
                <w:rFonts w:cs="David"/>
                <w:b/>
                <w:bCs/>
                <w:noProof/>
                <w:sz w:val="24"/>
                <w:szCs w:val="24"/>
                <w:rtl/>
              </w:rPr>
              <w:alias w:val="1180"/>
              <w:tag w:val="1180"/>
              <w:id w:val="637458750"/>
              <w:text w:multiLine="1"/>
            </w:sdtPr>
            <w:sdtEndPr/>
            <w:sdtContent>
              <w:p w:rsidR="00D81F92" w:rsidRPr="00D81F92" w:rsidRDefault="00F01B03" w:rsidP="00D81F92">
                <w:pPr>
                  <w:suppressLineNumbers/>
                  <w:jc w:val="left"/>
                  <w:rPr>
                    <w:rFonts w:ascii="Arial" w:hAnsi="Arial" w:cs="David"/>
                    <w:b/>
                    <w:bCs/>
                    <w:sz w:val="26"/>
                    <w:szCs w:val="26"/>
                    <w:rtl/>
                  </w:rPr>
                </w:pPr>
                <w:r>
                  <w:rPr>
                    <w:rFonts w:cs="David" w:hint="cs"/>
                    <w:b/>
                    <w:bCs/>
                    <w:noProof/>
                    <w:sz w:val="24"/>
                    <w:szCs w:val="24"/>
                    <w:rtl/>
                  </w:rPr>
                  <w:t xml:space="preserve">       </w:t>
                </w:r>
                <w:r w:rsidR="00D81F92" w:rsidRPr="00D81F92">
                  <w:rPr>
                    <w:rFonts w:cs="David"/>
                    <w:b/>
                    <w:bCs/>
                    <w:noProof/>
                    <w:sz w:val="24"/>
                    <w:szCs w:val="24"/>
                    <w:rtl/>
                  </w:rPr>
                  <w:t>המבקש</w:t>
                </w:r>
              </w:p>
            </w:sdtContent>
          </w:sdt>
        </w:tc>
        <w:tc>
          <w:tcPr>
            <w:tcW w:w="5571" w:type="dxa"/>
          </w:tcPr>
          <w:p w:rsidR="00D81F92" w:rsidRPr="00D81F92" w:rsidRDefault="00D81F92" w:rsidP="00D81F92">
            <w:pPr>
              <w:suppressLineNumbers/>
              <w:rPr>
                <w:rFonts w:cs="David"/>
                <w:noProof/>
                <w:sz w:val="24"/>
                <w:szCs w:val="24"/>
                <w:rtl/>
              </w:rPr>
            </w:pPr>
          </w:p>
          <w:p w:rsidR="00D81F92" w:rsidRPr="00D81F92" w:rsidRDefault="002C7134" w:rsidP="00D81F92">
            <w:pPr>
              <w:suppressLineNumbers/>
              <w:jc w:val="left"/>
              <w:rPr>
                <w:rFonts w:cs="David"/>
                <w:b/>
                <w:bCs/>
                <w:sz w:val="26"/>
                <w:szCs w:val="26"/>
                <w:rtl/>
              </w:rPr>
            </w:pPr>
            <w:sdt>
              <w:sdtPr>
                <w:rPr>
                  <w:rFonts w:ascii="Arial" w:hAnsi="Arial" w:cs="David"/>
                  <w:b/>
                  <w:bCs/>
                  <w:sz w:val="26"/>
                  <w:szCs w:val="26"/>
                  <w:rtl/>
                </w:rPr>
                <w:alias w:val="3151"/>
                <w:tag w:val="3151"/>
                <w:id w:val="1166218717"/>
                <w:placeholder>
                  <w:docPart w:val="0B9266162A1A443AA6716DB74B3C27A8"/>
                </w:placeholder>
                <w:text w:multiLine="1"/>
              </w:sdtPr>
              <w:sdtEndPr/>
              <w:sdtContent>
                <w:r w:rsidR="00D81F92" w:rsidRPr="00D81F92">
                  <w:rPr>
                    <w:rFonts w:ascii="Arial" w:hAnsi="Arial" w:cs="David"/>
                    <w:b/>
                    <w:bCs/>
                    <w:sz w:val="26"/>
                    <w:szCs w:val="26"/>
                    <w:rtl/>
                  </w:rPr>
                  <w:t>פלוני</w:t>
                </w:r>
                <w:r w:rsidR="00D81F92" w:rsidRPr="00D81F92">
                  <w:rPr>
                    <w:rFonts w:ascii="Arial" w:hAnsi="Arial" w:cs="David"/>
                    <w:b/>
                    <w:bCs/>
                    <w:sz w:val="26"/>
                    <w:szCs w:val="26"/>
                    <w:rtl/>
                  </w:rPr>
                  <w:br/>
                  <w:t>באמצעות ב"כ עו"ד אוהד איציק</w:t>
                </w:r>
              </w:sdtContent>
            </w:sdt>
          </w:p>
        </w:tc>
      </w:tr>
      <w:tr w:rsidR="00D81F92" w:rsidRPr="00D81F92" w:rsidTr="00F01B03">
        <w:trPr>
          <w:gridAfter w:val="1"/>
          <w:wAfter w:w="28" w:type="dxa"/>
          <w:jc w:val="center"/>
        </w:trPr>
        <w:tc>
          <w:tcPr>
            <w:tcW w:w="8354" w:type="dxa"/>
            <w:gridSpan w:val="3"/>
          </w:tcPr>
          <w:p w:rsidR="00D81F92" w:rsidRPr="00D81F92" w:rsidRDefault="00D81F92" w:rsidP="00D81F92">
            <w:pPr>
              <w:suppressLineNumbers/>
              <w:rPr>
                <w:rFonts w:ascii="Arial" w:hAnsi="Arial" w:cs="David"/>
                <w:b/>
                <w:bCs/>
                <w:sz w:val="26"/>
                <w:szCs w:val="26"/>
              </w:rPr>
            </w:pPr>
          </w:p>
          <w:p w:rsidR="00D81F92" w:rsidRPr="00D81F92" w:rsidRDefault="00D81F92" w:rsidP="00D81F92">
            <w:pPr>
              <w:suppressLineNumbers/>
              <w:jc w:val="center"/>
              <w:rPr>
                <w:rFonts w:ascii="Arial" w:hAnsi="Arial" w:cs="David"/>
                <w:b/>
                <w:bCs/>
                <w:sz w:val="26"/>
                <w:szCs w:val="26"/>
                <w:rtl/>
              </w:rPr>
            </w:pPr>
          </w:p>
        </w:tc>
      </w:tr>
      <w:tr w:rsidR="00D81F92" w:rsidRPr="00D81F92" w:rsidTr="00F01B03">
        <w:trPr>
          <w:gridAfter w:val="1"/>
          <w:wAfter w:w="28" w:type="dxa"/>
          <w:jc w:val="center"/>
        </w:trPr>
        <w:tc>
          <w:tcPr>
            <w:tcW w:w="2783" w:type="dxa"/>
            <w:gridSpan w:val="2"/>
            <w:hideMark/>
          </w:tcPr>
          <w:p w:rsidR="00D81F92" w:rsidRPr="00D81F92" w:rsidRDefault="002C7134" w:rsidP="00D81F92">
            <w:pPr>
              <w:suppressLineNumbers/>
              <w:jc w:val="left"/>
              <w:rPr>
                <w:rFonts w:ascii="Arial" w:hAnsi="Arial" w:cs="David"/>
                <w:b/>
                <w:bCs/>
                <w:sz w:val="26"/>
                <w:szCs w:val="26"/>
              </w:rPr>
            </w:pPr>
            <w:sdt>
              <w:sdtPr>
                <w:rPr>
                  <w:rFonts w:cs="David"/>
                  <w:b/>
                  <w:bCs/>
                  <w:noProof/>
                  <w:sz w:val="24"/>
                  <w:szCs w:val="24"/>
                  <w:rtl/>
                </w:rPr>
                <w:alias w:val="1184"/>
                <w:tag w:val="1184"/>
                <w:id w:val="-340621022"/>
                <w:text w:multiLine="1"/>
              </w:sdtPr>
              <w:sdtEndPr/>
              <w:sdtContent>
                <w:r w:rsidR="00F01B03">
                  <w:rPr>
                    <w:rFonts w:cs="David" w:hint="cs"/>
                    <w:b/>
                    <w:bCs/>
                    <w:noProof/>
                    <w:sz w:val="24"/>
                    <w:szCs w:val="24"/>
                    <w:rtl/>
                  </w:rPr>
                  <w:t xml:space="preserve">       </w:t>
                </w:r>
                <w:r w:rsidR="00D81F92" w:rsidRPr="00D81F92">
                  <w:rPr>
                    <w:rFonts w:cs="David"/>
                    <w:b/>
                    <w:bCs/>
                    <w:noProof/>
                    <w:sz w:val="24"/>
                    <w:szCs w:val="24"/>
                    <w:rtl/>
                  </w:rPr>
                  <w:t>המשיבים</w:t>
                </w:r>
              </w:sdtContent>
            </w:sdt>
          </w:p>
        </w:tc>
        <w:tc>
          <w:tcPr>
            <w:tcW w:w="5571" w:type="dxa"/>
            <w:hideMark/>
          </w:tcPr>
          <w:p w:rsidR="00D81F92" w:rsidRPr="00D81F92" w:rsidRDefault="002C7134" w:rsidP="00D81F92">
            <w:pPr>
              <w:suppressLineNumbers/>
              <w:jc w:val="left"/>
              <w:rPr>
                <w:rFonts w:ascii="Arial" w:hAnsi="Arial" w:cs="David"/>
                <w:b/>
                <w:bCs/>
                <w:sz w:val="26"/>
                <w:szCs w:val="26"/>
              </w:rPr>
            </w:pPr>
            <w:sdt>
              <w:sdtPr>
                <w:rPr>
                  <w:rFonts w:ascii="Arial" w:hAnsi="Arial" w:cs="David"/>
                  <w:b/>
                  <w:bCs/>
                  <w:sz w:val="26"/>
                  <w:szCs w:val="26"/>
                  <w:rtl/>
                </w:rPr>
                <w:alias w:val="1571"/>
                <w:tag w:val="1571"/>
                <w:id w:val="1028836282"/>
                <w:text w:multiLine="1"/>
              </w:sdtPr>
              <w:sdtEndPr/>
              <w:sdtContent>
                <w:r w:rsidR="00D81F92" w:rsidRPr="00D81F92">
                  <w:rPr>
                    <w:rFonts w:ascii="Arial" w:hAnsi="Arial" w:cs="David"/>
                    <w:b/>
                    <w:bCs/>
                    <w:sz w:val="26"/>
                    <w:szCs w:val="26"/>
                    <w:rtl/>
                  </w:rPr>
                  <w:t>1</w:t>
                </w:r>
              </w:sdtContent>
            </w:sdt>
            <w:r w:rsidR="00D81F92" w:rsidRPr="00D81F92">
              <w:rPr>
                <w:rFonts w:ascii="Arial" w:hAnsi="Arial" w:cs="David"/>
                <w:b/>
                <w:bCs/>
                <w:sz w:val="26"/>
                <w:szCs w:val="26"/>
                <w:rtl/>
              </w:rPr>
              <w:t xml:space="preserve">. </w:t>
            </w:r>
            <w:sdt>
              <w:sdtPr>
                <w:rPr>
                  <w:rFonts w:ascii="Arial" w:hAnsi="Arial" w:cs="David"/>
                  <w:b/>
                  <w:bCs/>
                  <w:sz w:val="26"/>
                  <w:szCs w:val="26"/>
                  <w:rtl/>
                </w:rPr>
                <w:alias w:val="3152"/>
                <w:tag w:val="3152"/>
                <w:id w:val="-1346628691"/>
                <w:placeholder>
                  <w:docPart w:val="FFBFFFA5FC9E4CDA89B39AA6E9AC2D39"/>
                </w:placeholder>
                <w:text w:multiLine="1"/>
              </w:sdtPr>
              <w:sdtEndPr/>
              <w:sdtContent>
                <w:r w:rsidR="00D81F92" w:rsidRPr="00D81F92">
                  <w:rPr>
                    <w:rFonts w:ascii="Arial" w:hAnsi="Arial" w:cs="David"/>
                    <w:b/>
                    <w:bCs/>
                    <w:sz w:val="26"/>
                    <w:szCs w:val="26"/>
                    <w:rtl/>
                  </w:rPr>
                  <w:t>פלוני</w:t>
                </w:r>
                <w:r w:rsidR="00D81F92" w:rsidRPr="00D81F92">
                  <w:rPr>
                    <w:rFonts w:ascii="Arial" w:hAnsi="Arial" w:cs="David"/>
                    <w:b/>
                    <w:bCs/>
                    <w:sz w:val="26"/>
                    <w:szCs w:val="26"/>
                    <w:rtl/>
                  </w:rPr>
                  <w:br/>
                  <w:t>באמצעות ב"כ עו"ד משה כהאן ואח'</w:t>
                </w:r>
                <w:r w:rsidR="00D81F92" w:rsidRPr="00D81F92">
                  <w:rPr>
                    <w:rFonts w:ascii="Arial" w:hAnsi="Arial" w:cs="David"/>
                    <w:b/>
                    <w:bCs/>
                    <w:sz w:val="26"/>
                    <w:szCs w:val="26"/>
                    <w:rtl/>
                  </w:rPr>
                  <w:br/>
                </w:r>
              </w:sdtContent>
            </w:sdt>
          </w:p>
          <w:p w:rsidR="00D81F92" w:rsidRPr="00D81F92" w:rsidRDefault="002C7134" w:rsidP="00D81F92">
            <w:pPr>
              <w:suppressLineNumbers/>
              <w:jc w:val="left"/>
              <w:rPr>
                <w:rFonts w:ascii="Arial" w:hAnsi="Arial" w:cs="David"/>
                <w:b/>
                <w:bCs/>
                <w:sz w:val="26"/>
                <w:szCs w:val="26"/>
                <w:rtl/>
              </w:rPr>
            </w:pPr>
            <w:sdt>
              <w:sdtPr>
                <w:rPr>
                  <w:rFonts w:ascii="Arial" w:hAnsi="Arial" w:cs="David"/>
                  <w:b/>
                  <w:bCs/>
                  <w:sz w:val="26"/>
                  <w:szCs w:val="26"/>
                  <w:rtl/>
                </w:rPr>
                <w:alias w:val="1571"/>
                <w:tag w:val="1571"/>
                <w:id w:val="-468356716"/>
                <w:text w:multiLine="1"/>
              </w:sdtPr>
              <w:sdtEndPr/>
              <w:sdtContent>
                <w:r w:rsidR="00D81F92" w:rsidRPr="00D81F92">
                  <w:rPr>
                    <w:rFonts w:ascii="Arial" w:hAnsi="Arial" w:cs="David"/>
                    <w:b/>
                    <w:bCs/>
                    <w:sz w:val="26"/>
                    <w:szCs w:val="26"/>
                    <w:rtl/>
                  </w:rPr>
                  <w:t>2</w:t>
                </w:r>
              </w:sdtContent>
            </w:sdt>
            <w:r w:rsidR="00D81F92" w:rsidRPr="00D81F92">
              <w:rPr>
                <w:rFonts w:ascii="Arial" w:hAnsi="Arial" w:cs="David"/>
                <w:b/>
                <w:bCs/>
                <w:sz w:val="26"/>
                <w:szCs w:val="26"/>
                <w:rtl/>
              </w:rPr>
              <w:t xml:space="preserve">. </w:t>
            </w:r>
            <w:sdt>
              <w:sdtPr>
                <w:rPr>
                  <w:rFonts w:ascii="Arial" w:hAnsi="Arial" w:cs="David"/>
                  <w:b/>
                  <w:bCs/>
                  <w:sz w:val="26"/>
                  <w:szCs w:val="26"/>
                  <w:rtl/>
                </w:rPr>
                <w:alias w:val="3152"/>
                <w:tag w:val="3152"/>
                <w:id w:val="636073927"/>
                <w:placeholder>
                  <w:docPart w:val="FFBFFFA5FC9E4CDA89B39AA6E9AC2D39"/>
                </w:placeholder>
                <w:text w:multiLine="1"/>
              </w:sdtPr>
              <w:sdtEndPr/>
              <w:sdtContent>
                <w:r w:rsidR="00D81F92" w:rsidRPr="00D81F92">
                  <w:rPr>
                    <w:rFonts w:ascii="Arial" w:hAnsi="Arial" w:cs="David"/>
                    <w:b/>
                    <w:bCs/>
                    <w:sz w:val="26"/>
                    <w:szCs w:val="26"/>
                    <w:rtl/>
                  </w:rPr>
                  <w:t xml:space="preserve">חברה פלונית </w:t>
                </w:r>
                <w:r w:rsidR="00D81F92" w:rsidRPr="00D81F92">
                  <w:rPr>
                    <w:rFonts w:ascii="Arial" w:hAnsi="Arial" w:cs="David"/>
                    <w:b/>
                    <w:bCs/>
                    <w:sz w:val="26"/>
                    <w:szCs w:val="26"/>
                    <w:rtl/>
                  </w:rPr>
                  <w:br/>
                  <w:t xml:space="preserve">באמצעות ב"כ עו"ד קובי כהן </w:t>
                </w:r>
              </w:sdtContent>
            </w:sdt>
          </w:p>
        </w:tc>
      </w:tr>
      <w:tr w:rsidR="00D81F92" w:rsidRPr="00D81F92" w:rsidTr="00F01B03">
        <w:trPr>
          <w:gridAfter w:val="1"/>
          <w:wAfter w:w="28" w:type="dxa"/>
          <w:jc w:val="center"/>
        </w:trPr>
        <w:tc>
          <w:tcPr>
            <w:tcW w:w="8354" w:type="dxa"/>
            <w:gridSpan w:val="3"/>
          </w:tcPr>
          <w:p w:rsidR="00D81F92" w:rsidRPr="00D81F92" w:rsidRDefault="00D81F92" w:rsidP="00D81F92">
            <w:pPr>
              <w:suppressLineNumbers/>
              <w:rPr>
                <w:rFonts w:cs="David"/>
                <w:noProof/>
                <w:sz w:val="24"/>
                <w:szCs w:val="24"/>
                <w:rtl/>
              </w:rPr>
            </w:pPr>
          </w:p>
        </w:tc>
      </w:tr>
      <w:tr w:rsidR="00D81F92" w:rsidRPr="00D81F92" w:rsidTr="00F01B03">
        <w:trPr>
          <w:gridAfter w:val="1"/>
          <w:wAfter w:w="28" w:type="dxa"/>
          <w:jc w:val="center"/>
        </w:trPr>
        <w:tc>
          <w:tcPr>
            <w:tcW w:w="2783" w:type="dxa"/>
            <w:gridSpan w:val="2"/>
          </w:tcPr>
          <w:p w:rsidR="00D81F92" w:rsidRPr="00D81F92" w:rsidRDefault="00D81F92" w:rsidP="00D81F92">
            <w:pPr>
              <w:rPr>
                <w:rFonts w:ascii="David" w:eastAsia="David" w:hAnsi="David" w:cs="David"/>
                <w:b/>
                <w:bCs/>
                <w:sz w:val="24"/>
                <w:szCs w:val="24"/>
                <w:rtl/>
              </w:rPr>
            </w:pPr>
          </w:p>
        </w:tc>
        <w:tc>
          <w:tcPr>
            <w:tcW w:w="5571" w:type="dxa"/>
          </w:tcPr>
          <w:p w:rsidR="00D81F92" w:rsidRPr="00D81F92" w:rsidRDefault="00D81F92" w:rsidP="00D81F92">
            <w:pPr>
              <w:rPr>
                <w:rFonts w:cs="David"/>
                <w:b/>
                <w:bCs/>
                <w:noProof/>
                <w:sz w:val="26"/>
                <w:szCs w:val="26"/>
              </w:rPr>
            </w:pPr>
          </w:p>
        </w:tc>
      </w:tr>
      <w:tr w:rsidR="00D81F92" w:rsidRPr="00D81F92" w:rsidTr="00F01B03">
        <w:trPr>
          <w:gridAfter w:val="1"/>
          <w:wAfter w:w="28" w:type="dxa"/>
          <w:jc w:val="center"/>
        </w:trPr>
        <w:tc>
          <w:tcPr>
            <w:tcW w:w="8354" w:type="dxa"/>
            <w:gridSpan w:val="3"/>
          </w:tcPr>
          <w:p w:rsidR="00D81F92" w:rsidRPr="00D81F92" w:rsidRDefault="00D81F92" w:rsidP="00D81F92">
            <w:pPr>
              <w:bidi w:val="0"/>
              <w:rPr>
                <w:rFonts w:ascii="Arial" w:hAnsi="Arial" w:cs="David"/>
                <w:b/>
                <w:bCs/>
                <w:sz w:val="28"/>
                <w:szCs w:val="28"/>
                <w:u w:val="single"/>
              </w:rPr>
            </w:pPr>
          </w:p>
        </w:tc>
      </w:tr>
      <w:tr w:rsidR="00D81F92" w:rsidRPr="00D81F92" w:rsidTr="00F01B03">
        <w:trPr>
          <w:gridAfter w:val="1"/>
          <w:wAfter w:w="28" w:type="dxa"/>
          <w:jc w:val="center"/>
        </w:trPr>
        <w:tc>
          <w:tcPr>
            <w:tcW w:w="8354" w:type="dxa"/>
            <w:gridSpan w:val="3"/>
          </w:tcPr>
          <w:p w:rsidR="00D81F92" w:rsidRPr="00D81F92" w:rsidRDefault="00D81F92" w:rsidP="00D81F92">
            <w:pPr>
              <w:bidi w:val="0"/>
              <w:jc w:val="center"/>
              <w:rPr>
                <w:rFonts w:ascii="Arial" w:hAnsi="Arial" w:cs="David"/>
                <w:b/>
                <w:bCs/>
                <w:sz w:val="32"/>
                <w:szCs w:val="32"/>
                <w:u w:val="single"/>
              </w:rPr>
            </w:pPr>
            <w:bookmarkStart w:id="1" w:name="NGCSBookmark"/>
            <w:bookmarkEnd w:id="1"/>
            <w:r w:rsidRPr="00D81F92">
              <w:rPr>
                <w:rFonts w:ascii="Arial" w:hAnsi="Arial" w:cs="David"/>
                <w:b/>
                <w:bCs/>
                <w:sz w:val="32"/>
                <w:szCs w:val="32"/>
                <w:u w:val="single"/>
                <w:rtl/>
              </w:rPr>
              <w:t>פסק דין</w:t>
            </w:r>
          </w:p>
          <w:p w:rsidR="00D81F92" w:rsidRPr="00D81F92" w:rsidRDefault="00D81F92" w:rsidP="00D81F92">
            <w:pPr>
              <w:bidi w:val="0"/>
              <w:jc w:val="center"/>
              <w:rPr>
                <w:rFonts w:ascii="Arial" w:hAnsi="Arial" w:cs="David"/>
                <w:b/>
                <w:bCs/>
                <w:sz w:val="28"/>
                <w:szCs w:val="28"/>
                <w:u w:val="single"/>
                <w:rtl/>
              </w:rPr>
            </w:pPr>
          </w:p>
          <w:p w:rsidR="00D81F92" w:rsidRPr="00D81F92" w:rsidRDefault="00D81F92" w:rsidP="00D81F92">
            <w:pPr>
              <w:suppressLineNumbers/>
              <w:spacing w:line="360" w:lineRule="auto"/>
              <w:jc w:val="both"/>
              <w:rPr>
                <w:rFonts w:cs="David"/>
                <w:b/>
                <w:bCs/>
                <w:noProof/>
                <w:sz w:val="24"/>
                <w:szCs w:val="24"/>
              </w:rPr>
            </w:pPr>
            <w:r w:rsidRPr="00D81F92">
              <w:rPr>
                <w:rFonts w:cs="David"/>
                <w:b/>
                <w:bCs/>
                <w:noProof/>
                <w:sz w:val="24"/>
                <w:szCs w:val="24"/>
                <w:rtl/>
              </w:rPr>
              <w:t xml:space="preserve">האם בדין נדחתה ע"י בית המשפט קמא בקשת המבקש לקבלת הסעדים הזמניים להם עתר?  – זוהי השאלה שבלב ההחלטה שלפנינו. </w:t>
            </w:r>
          </w:p>
          <w:p w:rsidR="00D81F92" w:rsidRPr="00D81F92" w:rsidRDefault="00D81F92" w:rsidP="00D81F92">
            <w:pPr>
              <w:suppressLineNumbers/>
              <w:spacing w:line="360" w:lineRule="auto"/>
              <w:jc w:val="both"/>
              <w:rPr>
                <w:rFonts w:cs="David"/>
                <w:b/>
                <w:bCs/>
                <w:noProof/>
                <w:sz w:val="24"/>
                <w:szCs w:val="24"/>
                <w:rtl/>
              </w:rPr>
            </w:pPr>
          </w:p>
          <w:p w:rsidR="00D81F92" w:rsidRPr="00D81F92" w:rsidRDefault="00D81F92" w:rsidP="00D81F92">
            <w:pPr>
              <w:suppressLineNumbers/>
              <w:spacing w:line="360" w:lineRule="auto"/>
              <w:jc w:val="both"/>
              <w:rPr>
                <w:rFonts w:cs="David"/>
                <w:b/>
                <w:bCs/>
                <w:noProof/>
                <w:sz w:val="26"/>
                <w:szCs w:val="26"/>
                <w:u w:val="single"/>
                <w:rtl/>
              </w:rPr>
            </w:pPr>
            <w:r w:rsidRPr="00D81F92">
              <w:rPr>
                <w:rFonts w:cs="David"/>
                <w:b/>
                <w:bCs/>
                <w:noProof/>
                <w:sz w:val="26"/>
                <w:szCs w:val="26"/>
                <w:u w:val="single"/>
                <w:rtl/>
              </w:rPr>
              <w:t>רקע כללי</w:t>
            </w:r>
          </w:p>
          <w:p w:rsidR="00D81F92" w:rsidRPr="00D81F92" w:rsidRDefault="00D81F92" w:rsidP="00D81F92">
            <w:pPr>
              <w:bidi w:val="0"/>
              <w:rPr>
                <w:rFonts w:ascii="Arial" w:hAnsi="Arial" w:cs="David"/>
                <w:sz w:val="28"/>
                <w:szCs w:val="28"/>
                <w:rtl/>
              </w:rPr>
            </w:pPr>
          </w:p>
        </w:tc>
      </w:tr>
    </w:tbl>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sz w:val="24"/>
          <w:szCs w:val="24"/>
          <w:rtl/>
        </w:rPr>
        <w:t>בקשת רשות הערעור המונחת לפניי מכוונת כנגד החלטת בית המשפט לענייני משפחה בבאר שבע מיום 13.04.2023 (</w:t>
      </w:r>
      <w:proofErr w:type="spellStart"/>
      <w:r w:rsidRPr="00D81F92">
        <w:rPr>
          <w:rFonts w:ascii="Arial" w:eastAsia="Times New Roman" w:hAnsi="Arial" w:cs="David"/>
          <w:sz w:val="24"/>
          <w:szCs w:val="24"/>
          <w:rtl/>
        </w:rPr>
        <w:t>בתמ"ש</w:t>
      </w:r>
      <w:proofErr w:type="spellEnd"/>
      <w:r w:rsidRPr="00D81F92">
        <w:rPr>
          <w:rFonts w:ascii="Arial" w:eastAsia="Times New Roman" w:hAnsi="Arial" w:cs="David"/>
          <w:sz w:val="24"/>
          <w:szCs w:val="24"/>
          <w:rtl/>
        </w:rPr>
        <w:t xml:space="preserve"> 46554-01-22), בגדרה נדחתה בקשת המבקש לקבלת סעדים זמניים (שלושה במספר) בקשר עם הזיקה שלו למשיבה 2 –חברה בע"מ שהמשיב 1 והוא אוחזים בשיעור זהה במניותיה (50% כל אחד), להלן: </w:t>
      </w:r>
      <w:r w:rsidRPr="00D81F92">
        <w:rPr>
          <w:rFonts w:ascii="Arial" w:eastAsia="Times New Roman" w:hAnsi="Arial" w:cs="David"/>
          <w:b/>
          <w:bCs/>
          <w:sz w:val="24"/>
          <w:szCs w:val="24"/>
          <w:rtl/>
        </w:rPr>
        <w:t>"החברה"</w:t>
      </w:r>
      <w:r w:rsidRPr="00D81F92">
        <w:rPr>
          <w:rFonts w:ascii="Arial" w:eastAsia="Times New Roman" w:hAnsi="Arial" w:cs="David"/>
          <w:sz w:val="24"/>
          <w:szCs w:val="24"/>
          <w:rtl/>
        </w:rPr>
        <w:t xml:space="preserve">.  </w:t>
      </w:r>
    </w:p>
    <w:p w:rsidR="00D81F92" w:rsidRPr="00D81F92" w:rsidRDefault="00D81F92" w:rsidP="00D81F92">
      <w:pPr>
        <w:spacing w:after="0" w:line="360" w:lineRule="auto"/>
        <w:ind w:left="720"/>
        <w:contextualSpacing/>
        <w:jc w:val="both"/>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sz w:val="24"/>
          <w:szCs w:val="24"/>
          <w:rtl/>
        </w:rPr>
        <w:t xml:space="preserve">כאמור, המבקש עתר במסגרת בקשה אחת לקבלת שלושה סעדים ארעיים: </w:t>
      </w:r>
      <w:r w:rsidRPr="00D81F92">
        <w:rPr>
          <w:rFonts w:ascii="Arial" w:eastAsia="Times New Roman" w:hAnsi="Arial" w:cs="David"/>
          <w:b/>
          <w:bCs/>
          <w:sz w:val="24"/>
          <w:szCs w:val="24"/>
          <w:rtl/>
        </w:rPr>
        <w:t>האחד</w:t>
      </w:r>
      <w:r w:rsidRPr="00D81F92">
        <w:rPr>
          <w:rFonts w:ascii="Arial" w:eastAsia="Times New Roman" w:hAnsi="Arial" w:cs="David"/>
          <w:sz w:val="24"/>
          <w:szCs w:val="24"/>
          <w:rtl/>
        </w:rPr>
        <w:t xml:space="preserve">, עניינו מניעת שימוש לרעה של המשיב 1 בזכויות החתימה שלו וחיובו לחתום על הוראת ביצוע לתשלום שכרו של המבקש; </w:t>
      </w:r>
      <w:r w:rsidRPr="00D81F92">
        <w:rPr>
          <w:rFonts w:ascii="Arial" w:eastAsia="Times New Roman" w:hAnsi="Arial" w:cs="David"/>
          <w:b/>
          <w:bCs/>
          <w:sz w:val="24"/>
          <w:szCs w:val="24"/>
          <w:rtl/>
        </w:rPr>
        <w:t>השני</w:t>
      </w:r>
      <w:r w:rsidRPr="00D81F92">
        <w:rPr>
          <w:rFonts w:ascii="Arial" w:eastAsia="Times New Roman" w:hAnsi="Arial" w:cs="David"/>
          <w:sz w:val="24"/>
          <w:szCs w:val="24"/>
          <w:rtl/>
        </w:rPr>
        <w:t xml:space="preserve">, עניינו מניעת שינוי במארג זכויות המבקש בחברה ע"י המשיב 1; </w:t>
      </w:r>
      <w:r w:rsidRPr="00D81F92">
        <w:rPr>
          <w:rFonts w:ascii="Arial" w:eastAsia="Times New Roman" w:hAnsi="Arial" w:cs="David"/>
          <w:b/>
          <w:bCs/>
          <w:sz w:val="24"/>
          <w:szCs w:val="24"/>
          <w:rtl/>
        </w:rPr>
        <w:t xml:space="preserve">והשלישי, </w:t>
      </w:r>
      <w:r w:rsidRPr="00D81F92">
        <w:rPr>
          <w:rFonts w:ascii="Arial" w:eastAsia="Times New Roman" w:hAnsi="Arial" w:cs="David"/>
          <w:sz w:val="24"/>
          <w:szCs w:val="24"/>
          <w:rtl/>
        </w:rPr>
        <w:t xml:space="preserve">עניינו מינוי נאמן או מנהל מיוחד לחברה.  </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בית המשפט קמא קבע, כי עיקר הבקשה נסוב סביב טענות המבקש בעניין שכרו, ומשכך   הסמכות לדון בהן נתונה לבית הדין לעבודה. עוד נקבע, כי לא נמצא שיש טעם מיוחד למינוי נאמן או מנהל מיוחד לחברה, ולכן הבקשה, על כל ראשיה, נדחתה. </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מן המונח לפניי עולה, כי המבקש והמשיב 1, הם אחים, אשר כל אחד מהם מחזיק במחצית ממניות החברה וחברה נוספת – ..., המפעילות .... שמומחיותם .... ומחזיקות בנכסי מקרקעין שבבעלותן המשמשים לניהול ולהפעלת עסקיהן.</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הלכה למעשה, משמש המבקש כמנהלה הכללי של החברה בפועל (אם כי לטענת המשיב 1 הוא עושה כן במשותף עם בנו שלו), ואילו המשיב 1 שפרש לגמלאות לפני שנים אחדות אינו מועסק עוד ע"י החברה אך משמש כיו"ר הדירקטוריון שלה. שניהם </w:t>
      </w:r>
      <w:proofErr w:type="spellStart"/>
      <w:r w:rsidRPr="00D81F92">
        <w:rPr>
          <w:rFonts w:ascii="Arial" w:eastAsia="Times New Roman" w:hAnsi="Arial" w:cs="David"/>
          <w:sz w:val="24"/>
          <w:szCs w:val="24"/>
          <w:rtl/>
        </w:rPr>
        <w:t>מורשי</w:t>
      </w:r>
      <w:proofErr w:type="spellEnd"/>
      <w:r w:rsidRPr="00D81F92">
        <w:rPr>
          <w:rFonts w:ascii="Arial" w:eastAsia="Times New Roman" w:hAnsi="Arial" w:cs="David"/>
          <w:sz w:val="24"/>
          <w:szCs w:val="24"/>
          <w:rtl/>
        </w:rPr>
        <w:t xml:space="preserve"> חתימה בשם החברה ועפ"י תקנונה נדרשת חתימה של שניהם על מנת לחייבה או לזכותה.</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בין האחים גבה </w:t>
      </w:r>
      <w:proofErr w:type="spellStart"/>
      <w:r w:rsidRPr="00D81F92">
        <w:rPr>
          <w:rFonts w:ascii="Arial" w:eastAsia="Times New Roman" w:hAnsi="Arial" w:cs="David"/>
          <w:sz w:val="24"/>
          <w:szCs w:val="24"/>
          <w:rtl/>
        </w:rPr>
        <w:t>טורא</w:t>
      </w:r>
      <w:proofErr w:type="spellEnd"/>
      <w:r w:rsidRPr="00D81F92">
        <w:rPr>
          <w:rFonts w:ascii="Arial" w:eastAsia="Times New Roman" w:hAnsi="Arial" w:cs="David"/>
          <w:sz w:val="24"/>
          <w:szCs w:val="24"/>
          <w:rtl/>
        </w:rPr>
        <w:t xml:space="preserve">, וכעולה מעיון בתיקים המתנהלים בבית המשפט קמא, משליך הקונפליקט ביניהם גם על היחסים בינם ובין בני הדור השני במשפחה (ילדיהם), בפרט אלה המועסקים ע"י החברות ועל תפקוד החברות, עד כי הסכסוך מצא דרכו לבית המשפט לענייני משפחה. </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sz w:val="24"/>
          <w:szCs w:val="24"/>
          <w:rtl/>
        </w:rPr>
        <w:t>המבקש והמשיב 1 הגישו לבית המשפט קמא תביעות האחד כנגד אחיו - המבקש הגיש תובענה לסעד הצהרתי וכספי במסגרתה עתר, בין היתר, להיפרדות בין השניים בדרך של רכישה כפויה של מניות המשיב 1 על ידו, ולחילופין בדרך של התמחרות ביניהם; ואילו המשיב 1 הגיש</w:t>
      </w:r>
      <w:r w:rsidRPr="00D81F92">
        <w:rPr>
          <w:rFonts w:ascii="Arial" w:eastAsia="Times New Roman" w:hAnsi="Arial" w:cs="David"/>
          <w:sz w:val="24"/>
          <w:szCs w:val="24"/>
        </w:rPr>
        <w:t xml:space="preserve"> </w:t>
      </w:r>
      <w:r w:rsidRPr="00D81F92">
        <w:rPr>
          <w:rFonts w:ascii="Arial" w:eastAsia="Times New Roman" w:hAnsi="Arial" w:cs="David"/>
          <w:sz w:val="24"/>
          <w:szCs w:val="24"/>
          <w:rtl/>
        </w:rPr>
        <w:t xml:space="preserve">תובענה לסעד הצהרתי שעניינה ביטול העברת המניות ממנו למבקש, אשר על פי הנטען הייתה ללא תמורה ובמתנה, ולחילופין להיפרדות ביניהם באמצעות התמחרות (מנגנון </w:t>
      </w:r>
      <w:r w:rsidRPr="00D81F92">
        <w:rPr>
          <w:rFonts w:ascii="Arial" w:eastAsia="Times New Roman" w:hAnsi="Arial" w:cs="David"/>
          <w:sz w:val="24"/>
          <w:szCs w:val="24"/>
        </w:rPr>
        <w:t>BMBY</w:t>
      </w:r>
      <w:r w:rsidRPr="00D81F92">
        <w:rPr>
          <w:rFonts w:ascii="Arial" w:eastAsia="Times New Roman" w:hAnsi="Arial" w:cs="David"/>
          <w:sz w:val="24"/>
          <w:szCs w:val="24"/>
          <w:rtl/>
        </w:rPr>
        <w:t xml:space="preserve">).   </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ביום 22.06.2022 התקיימה בפני בית המשפט קמא ישיבת קדם משפט בשני ההליכים במאוחד ובסופה ניתנה החלטה על פיה התבקשו הצדדים להציע שמותיהם של מומחים להערכת שווי החברות ושווי המקרקעין שבבעלותן, תוך שנקבע, כי לאחר שתוגשנה חוות הדעת ע"י המומחים, תקבע ישיבה נוספת. בהמשך, ובהעדר הסכמה בין הצדדים בעניין זהות המומחים, מונו על ידי בית המשפט שמאי מקרקעין ורו"ח כמומחים מטעמו. </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spacing w:after="0" w:line="360" w:lineRule="auto"/>
        <w:ind w:left="720"/>
        <w:contextualSpacing/>
        <w:jc w:val="both"/>
        <w:rPr>
          <w:rFonts w:ascii="Arial" w:eastAsia="Times New Roman" w:hAnsi="Arial" w:cs="David"/>
          <w:sz w:val="24"/>
          <w:szCs w:val="24"/>
          <w:rtl/>
        </w:rPr>
      </w:pPr>
      <w:r w:rsidRPr="00D81F92">
        <w:rPr>
          <w:rFonts w:ascii="Arial" w:eastAsia="Times New Roman" w:hAnsi="Arial" w:cs="David"/>
          <w:sz w:val="24"/>
          <w:szCs w:val="24"/>
          <w:rtl/>
        </w:rPr>
        <w:t>מעיון בתיקים המתנהלים בבית המשפט קמא עולה, כי למרות חלוף הזמן הרב מאז מונו המומחים (למעלה משנה), טרם הוגשו חוות הדעת על ידם.</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נראה, כי מאז הדיון חלה הסלמה ביחסי הצדדים, אשר ככל הנראה הובילה להגשת הבקשה </w:t>
      </w:r>
      <w:proofErr w:type="spellStart"/>
      <w:r w:rsidRPr="00D81F92">
        <w:rPr>
          <w:rFonts w:ascii="Arial" w:eastAsia="Times New Roman" w:hAnsi="Arial" w:cs="David"/>
          <w:sz w:val="24"/>
          <w:szCs w:val="24"/>
          <w:rtl/>
        </w:rPr>
        <w:t>לסעדים</w:t>
      </w:r>
      <w:proofErr w:type="spellEnd"/>
      <w:r w:rsidRPr="00D81F92">
        <w:rPr>
          <w:rFonts w:ascii="Arial" w:eastAsia="Times New Roman" w:hAnsi="Arial" w:cs="David"/>
          <w:sz w:val="24"/>
          <w:szCs w:val="24"/>
          <w:rtl/>
        </w:rPr>
        <w:t xml:space="preserve"> הזמניים (אם כי גם בחודש מאי אשתקד הוגשה ע"י המבקש בקשה לצו מניעה זמני בעניין קונקרטי - כינוס אסיפה כללית ע"י המשיב 1). בבקשה נטען בעיקר, כי המשיב 1 מסרב לחתום  על מסמכים הדרושים לתשלום שכרו וביצוע תשלומים לספקים. לאחר שנתקבלה תגובת המשיב 1  ותשובת המבקש, ניתנה ביום 13.04.2023 ההחלטה נושא הבקשה שלפנינו במסגרתה דחה בית המשפט את הבקשה בקבעו כהאי לישנא:  </w:t>
      </w:r>
      <w:r w:rsidRPr="00D81F92">
        <w:rPr>
          <w:rFonts w:ascii="Arial" w:eastAsia="Times New Roman" w:hAnsi="Arial" w:cs="David"/>
          <w:b/>
          <w:bCs/>
          <w:sz w:val="24"/>
          <w:szCs w:val="24"/>
          <w:rtl/>
        </w:rPr>
        <w:t xml:space="preserve">"אחרי עיון בבקשה, בתגובה ובתגובה לתגובה מצאתי לדחות הבקשה בהיעדר סמכות עניינית לדון בה, שכן הסעד העיקרי עוסק בתשלום שכרו של המבקש...עיון מעמיק בבקשה ובתגובה לתגובה מגלה כי עיקר הבקשה עוסקת בשכר המבקש ובדרישה למתן צו אשר יורה </w:t>
      </w:r>
      <w:r w:rsidRPr="00D81F92">
        <w:rPr>
          <w:rFonts w:ascii="Arial" w:eastAsia="Times New Roman" w:hAnsi="Arial" w:cs="David"/>
          <w:b/>
          <w:bCs/>
          <w:sz w:val="24"/>
          <w:szCs w:val="24"/>
          <w:rtl/>
        </w:rPr>
        <w:lastRenderedPageBreak/>
        <w:t>למשיב 1 לחתום על הוראת תשלום השכר... דרישה או סעד לתשלום שכר עובד, גם אם עסקינן בעובד בכיר, מקומם להתברר במסגרת תובענה מתאימה אותה יש להגיש בבית הדין לעבודה ובהתאם לסמכות הנתונה לו כאמור בסעיף 24(א)(1) לחוק בית הדין לעבודה תשכ"ט – 1969...</w:t>
      </w:r>
      <w:r w:rsidRPr="00D81F92">
        <w:rPr>
          <w:rFonts w:ascii="Arial" w:eastAsia="Times New Roman" w:hAnsi="Arial" w:cs="David"/>
          <w:sz w:val="24"/>
          <w:szCs w:val="24"/>
          <w:rtl/>
        </w:rPr>
        <w:t xml:space="preserve"> </w:t>
      </w:r>
    </w:p>
    <w:p w:rsidR="00D81F92" w:rsidRPr="00D81F92" w:rsidRDefault="00D81F92" w:rsidP="00D81F92">
      <w:pPr>
        <w:spacing w:after="0" w:line="360" w:lineRule="auto"/>
        <w:ind w:left="720"/>
        <w:contextualSpacing/>
        <w:jc w:val="both"/>
        <w:rPr>
          <w:rFonts w:ascii="Arial" w:eastAsia="Times New Roman" w:hAnsi="Arial" w:cs="David"/>
          <w:b/>
          <w:bCs/>
          <w:sz w:val="24"/>
          <w:szCs w:val="24"/>
          <w:rtl/>
        </w:rPr>
      </w:pPr>
      <w:r w:rsidRPr="00D81F92">
        <w:rPr>
          <w:rFonts w:ascii="Arial" w:eastAsia="Times New Roman" w:hAnsi="Arial" w:cs="David"/>
          <w:b/>
          <w:bCs/>
          <w:sz w:val="24"/>
          <w:szCs w:val="24"/>
          <w:rtl/>
        </w:rPr>
        <w:t>לא מצאתי כל טעם מיוחד המצדיק מינוי מנהל או נאמן לניהול החברה, וטענות הצדדים בדבר אי תשלום שכר מחד ואי ביצוע עבודה מאידך, אין בהם כדי לפעול למינוי כאמור.</w:t>
      </w:r>
    </w:p>
    <w:p w:rsidR="00D81F92" w:rsidRPr="00D81F92" w:rsidRDefault="00D81F92" w:rsidP="00D81F92">
      <w:pPr>
        <w:spacing w:after="0" w:line="360" w:lineRule="auto"/>
        <w:ind w:left="720"/>
        <w:contextualSpacing/>
        <w:jc w:val="both"/>
        <w:rPr>
          <w:rFonts w:ascii="Arial" w:eastAsia="Times New Roman" w:hAnsi="Arial" w:cs="David"/>
          <w:sz w:val="24"/>
          <w:szCs w:val="24"/>
          <w:rtl/>
        </w:rPr>
      </w:pPr>
      <w:r w:rsidRPr="00D81F92">
        <w:rPr>
          <w:rFonts w:ascii="Arial" w:eastAsia="Times New Roman" w:hAnsi="Arial" w:cs="David"/>
          <w:b/>
          <w:bCs/>
          <w:sz w:val="24"/>
          <w:szCs w:val="24"/>
          <w:rtl/>
        </w:rPr>
        <w:t>הבקשה נדחית."</w:t>
      </w:r>
      <w:r w:rsidRPr="00D81F92">
        <w:rPr>
          <w:rFonts w:ascii="Arial" w:eastAsia="Times New Roman" w:hAnsi="Arial" w:cs="David"/>
          <w:sz w:val="24"/>
          <w:szCs w:val="24"/>
          <w:rtl/>
        </w:rPr>
        <w:t xml:space="preserve">. </w:t>
      </w:r>
    </w:p>
    <w:p w:rsidR="00D81F92" w:rsidRPr="00D81F92" w:rsidRDefault="00D81F92" w:rsidP="00D81F92">
      <w:pPr>
        <w:spacing w:after="0" w:line="240" w:lineRule="auto"/>
        <w:ind w:left="720"/>
        <w:contextualSpacing/>
        <w:rPr>
          <w:rFonts w:ascii="Arial" w:eastAsia="Times New Roman" w:hAnsi="Arial" w:cs="David"/>
          <w:sz w:val="24"/>
          <w:szCs w:val="24"/>
          <w:rtl/>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sz w:val="24"/>
          <w:szCs w:val="24"/>
          <w:rtl/>
        </w:rPr>
        <w:t>המבקש, אשר כאמור לא השלים עם ההחלטה, הגיש הבקשה שלפניי לקבלת רשות לערער עליה.</w:t>
      </w:r>
    </w:p>
    <w:p w:rsidR="00D81F92" w:rsidRPr="00D81F92" w:rsidRDefault="00D81F92" w:rsidP="00D81F92">
      <w:pPr>
        <w:spacing w:after="0" w:line="360" w:lineRule="auto"/>
        <w:jc w:val="both"/>
        <w:rPr>
          <w:rFonts w:ascii="Arial" w:eastAsia="Times New Roman" w:hAnsi="Arial" w:cs="David"/>
          <w:sz w:val="24"/>
          <w:szCs w:val="24"/>
          <w:rtl/>
        </w:rPr>
      </w:pPr>
    </w:p>
    <w:p w:rsidR="00D81F92" w:rsidRPr="00D81F92" w:rsidRDefault="00D81F92" w:rsidP="00D81F92">
      <w:pPr>
        <w:suppressLineNumbers/>
        <w:spacing w:after="0" w:line="360" w:lineRule="auto"/>
        <w:jc w:val="both"/>
        <w:rPr>
          <w:rFonts w:ascii="Times New Roman" w:eastAsia="Times New Roman" w:hAnsi="Times New Roman" w:cs="David"/>
          <w:b/>
          <w:bCs/>
          <w:noProof/>
          <w:sz w:val="26"/>
          <w:szCs w:val="26"/>
          <w:u w:val="single"/>
        </w:rPr>
      </w:pPr>
      <w:r w:rsidRPr="00D81F92">
        <w:rPr>
          <w:rFonts w:ascii="Times New Roman" w:eastAsia="Times New Roman" w:hAnsi="Times New Roman" w:cs="David"/>
          <w:b/>
          <w:bCs/>
          <w:noProof/>
          <w:sz w:val="26"/>
          <w:szCs w:val="26"/>
          <w:u w:val="single"/>
          <w:rtl/>
        </w:rPr>
        <w:t>תמצית טענות הצדדים</w:t>
      </w:r>
    </w:p>
    <w:p w:rsidR="00D81F92" w:rsidRPr="00D81F92" w:rsidRDefault="00D81F92" w:rsidP="00D81F92">
      <w:pPr>
        <w:spacing w:after="0" w:line="240" w:lineRule="auto"/>
        <w:ind w:left="720"/>
        <w:contextualSpacing/>
        <w:rPr>
          <w:rFonts w:ascii="Arial" w:eastAsia="Times New Roman" w:hAnsi="Arial" w:cs="David"/>
          <w:sz w:val="24"/>
          <w:szCs w:val="24"/>
          <w:rtl/>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b/>
          <w:bCs/>
          <w:sz w:val="24"/>
          <w:szCs w:val="24"/>
          <w:u w:val="single"/>
          <w:rtl/>
        </w:rPr>
        <w:t>לטענת המבקש</w:t>
      </w:r>
      <w:r w:rsidRPr="00D81F92">
        <w:rPr>
          <w:rFonts w:ascii="Arial" w:eastAsia="Times New Roman" w:hAnsi="Arial" w:cs="David"/>
          <w:sz w:val="24"/>
          <w:szCs w:val="24"/>
          <w:rtl/>
        </w:rPr>
        <w:t xml:space="preserve">, שגה בית המשפט קמא בקבעו כי הוא נעדר סמכות עניינית לדון בבקשתו לקבלת הסעד הזמני (צו עשה). לשיטתו, היות שמסורה לבית המשפט הסמכות לדון בסעד העיקרי אשר נתבע על ידו, יש לו הסמכות לדון גם </w:t>
      </w:r>
      <w:proofErr w:type="spellStart"/>
      <w:r w:rsidRPr="00D81F92">
        <w:rPr>
          <w:rFonts w:ascii="Arial" w:eastAsia="Times New Roman" w:hAnsi="Arial" w:cs="David"/>
          <w:sz w:val="24"/>
          <w:szCs w:val="24"/>
          <w:rtl/>
        </w:rPr>
        <w:t>בסעדים</w:t>
      </w:r>
      <w:proofErr w:type="spellEnd"/>
      <w:r w:rsidRPr="00D81F92">
        <w:rPr>
          <w:rFonts w:ascii="Arial" w:eastAsia="Times New Roman" w:hAnsi="Arial" w:cs="David"/>
          <w:sz w:val="24"/>
          <w:szCs w:val="24"/>
          <w:rtl/>
        </w:rPr>
        <w:t xml:space="preserve"> הזמניים להם עתר, והדבר הוא בבחינת מושכלות יסוד; כן נטען על ידו, כי בניגוד לקביעת בית המשפט קמא, אין המדובר בסעד שעניינו תשלום שכרו, כי אם מניעת המשך הקיפוח שלו ע"י המשיב 1 תוך שימוש לרעה בזכויות החתימה שלו, ומכל מקום אין המדובר רק באי תשלום שכרו כי אם גם באי השלמה של חלוקת הדיבידנד, ובית הדין לעבודה נעדר סמכות לדון בעניין זה;  ככל שלא יינתן הסעד הזמני לו עתר, יוביל הדבר לקריסתו הכלכלית עד להכרעה בהליך העיקרי ולכניעה שלו, בלית ברירה, לתכתיבי המשיב 1;  לדידו, בית המשפט קמא שגה בכך שלא הבחין בין עילת התביעה ובין הסעד המבוקש, משאין המדובר בתביעה שעילתה ביחסי עבודה אלא בסכסוך בין בעלי מניות בחברה, ולמצער ולחלופין – בהתאם להלכה הפסוקה, גם מקום בו הערכאה הדיונית נעדרת סמכות עניינית לדון בתובענה, יכול שתהא בידה הסמכות לדון בסעד הזמני שנתבקש ע"י התובע; עוד ובנוסף טוען המבקש, כי שגה בית המשפט קמא עת בחר להתמקד בעניין תשלום שכרו בלבד תוך התעלמות מטענותיו בעניין הפגיעה בזכויותיו כבעל מניות בחברה; לדידו, מאזן הנוחות נוטה בבירור לטובתו, תוך תיאור הנזק שנגרם לו בעקבות הסכסוך וסירוב המשיב 1 לחתום על המסמכים הנדרשים לצורך ביצוע התשלומים שהחברה חבה כלפיו. על שום כך, לשיטת המבקש נדרשת התערבותו המידית של בית משפט זה.  </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sz w:val="24"/>
          <w:szCs w:val="24"/>
          <w:rtl/>
        </w:rPr>
        <w:t xml:space="preserve">מנגד, </w:t>
      </w:r>
      <w:r w:rsidRPr="00D81F92">
        <w:rPr>
          <w:rFonts w:ascii="Arial" w:eastAsia="Times New Roman" w:hAnsi="Arial" w:cs="David"/>
          <w:b/>
          <w:bCs/>
          <w:sz w:val="24"/>
          <w:szCs w:val="24"/>
          <w:u w:val="single"/>
          <w:rtl/>
        </w:rPr>
        <w:t>טוען המשיב 1</w:t>
      </w:r>
      <w:r w:rsidRPr="00D81F92">
        <w:rPr>
          <w:rFonts w:ascii="Arial" w:eastAsia="Times New Roman" w:hAnsi="Arial" w:cs="David"/>
          <w:sz w:val="24"/>
          <w:szCs w:val="24"/>
          <w:rtl/>
        </w:rPr>
        <w:t xml:space="preserve"> כי אין מקום להתערב בהחלטת בית המשפט קמא משלא נפלה בה כל טעות; לדידו, המבקש מסתיר מבית המשפט פרטים מהותיים תוך ניסיון לערבו בניהול חברה פרטית, ובתוך כך העובדה שהוא עצמו מנצל לרעה זכות החתימה שלו כדי למנוע ביצוע תשלומים שהחברה חבה כלפי המשיב 1 וכלפי ילדיו המועסקים על ידה. לפיכך, בקשתו הוגשה בחוסר ניקיון כפיים והיא נגועה בחוסר תום לב; לשיטתו, מדובר למעשה בבקשה לצו עשה זמני (לתשלום שכר עבודה למבקש) באצטלה של בקשה לצו מניעה זמני, ומשכך בדין נקבע, כי הסמכות הייחודית לדון בה מסורה לבית הדין לעבודה;  בנוסף נטען על ידו, כי אין זיקה בין הסעד הזמני שנתבקש ע"י המבקש ובין הסעד העיקרי שנתבע על </w:t>
      </w:r>
      <w:r w:rsidRPr="00D81F92">
        <w:rPr>
          <w:rFonts w:ascii="Arial" w:eastAsia="Times New Roman" w:hAnsi="Arial" w:cs="David"/>
          <w:sz w:val="24"/>
          <w:szCs w:val="24"/>
          <w:rtl/>
        </w:rPr>
        <w:lastRenderedPageBreak/>
        <w:t>ידו; המשיב 1 טוען גם, כי הסירוב לתשלום שכר למבקש נובע משיקולים ענייניים נוכח התנהלותו ותפקודו הלקוי כנושא משרה בחברה. לפיכך, לשיטתו, יש לדחות הבקשה.</w:t>
      </w:r>
    </w:p>
    <w:p w:rsidR="00D81F92" w:rsidRPr="00D81F92" w:rsidRDefault="00D81F92" w:rsidP="00D81F92">
      <w:pPr>
        <w:spacing w:after="0" w:line="240" w:lineRule="auto"/>
        <w:ind w:left="720"/>
        <w:contextualSpacing/>
        <w:rPr>
          <w:rFonts w:ascii="Arial" w:eastAsia="Times New Roman" w:hAnsi="Arial" w:cs="David"/>
          <w:sz w:val="24"/>
          <w:szCs w:val="24"/>
          <w:rtl/>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b/>
          <w:bCs/>
          <w:sz w:val="24"/>
          <w:szCs w:val="24"/>
          <w:u w:val="single"/>
          <w:rtl/>
        </w:rPr>
        <w:t>החברה- משיבה 2</w:t>
      </w:r>
      <w:r w:rsidRPr="00D81F92">
        <w:rPr>
          <w:rFonts w:ascii="Arial" w:eastAsia="Times New Roman" w:hAnsi="Arial" w:cs="David"/>
          <w:sz w:val="24"/>
          <w:szCs w:val="24"/>
          <w:rtl/>
        </w:rPr>
        <w:t xml:space="preserve"> מצטרפת לעמדת המשיב 1, תוך שנטען גם על ידה, כי עניין לנו בבקשת המבקש לצו עשה שתכליתו תשלום שכרו בה בעת  שעובדים אחרים המועסקים ע"י החברה אינם מקבלים שכר עבודה ו/או תשלומים נוספים שהם זכאים להם עפ"י דין על רקע הסכסוך בין האחים ועקב סירוב המבקש לחתום על הוראות התשלום הנדרשות. לטענתה, הסתרת עובדה זו מפני בית המשפט ע"י המבקש והעובדה שעקב התנהלותו הוגשו כנגדה תביעות ע"י עובדי החברה שהם מקרב בני המשפחה, ותלויים ועומדים בעניין זה הליכים משפטיים בבית הדין לעבודה, עלולה להוביל להכרעות סותרות; גם לשיטתה נתונה הסמכות לדון בבקשת המבקש לבית הדין לעבודה, ומן הטעמים האמורים זהו הפורום הראוי והבלעדי לבירורה.</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suppressLineNumbers/>
        <w:spacing w:after="0" w:line="360" w:lineRule="auto"/>
        <w:jc w:val="both"/>
        <w:rPr>
          <w:rFonts w:ascii="Times New Roman" w:eastAsia="Times New Roman" w:hAnsi="Times New Roman" w:cs="David"/>
          <w:b/>
          <w:bCs/>
          <w:noProof/>
          <w:sz w:val="26"/>
          <w:szCs w:val="26"/>
          <w:u w:val="single"/>
          <w:rtl/>
        </w:rPr>
      </w:pPr>
      <w:r w:rsidRPr="00D81F92">
        <w:rPr>
          <w:rFonts w:ascii="Times New Roman" w:eastAsia="Times New Roman" w:hAnsi="Times New Roman" w:cs="David"/>
          <w:b/>
          <w:bCs/>
          <w:noProof/>
          <w:sz w:val="26"/>
          <w:szCs w:val="26"/>
          <w:u w:val="single"/>
          <w:rtl/>
        </w:rPr>
        <w:t>דיון והכרעה</w:t>
      </w:r>
    </w:p>
    <w:p w:rsidR="00D81F92" w:rsidRPr="00D81F92" w:rsidRDefault="00D81F92" w:rsidP="00D81F92">
      <w:pPr>
        <w:spacing w:after="0" w:line="240" w:lineRule="auto"/>
        <w:jc w:val="both"/>
        <w:rPr>
          <w:rFonts w:ascii="Arial" w:eastAsia="Times New Roman" w:hAnsi="Arial" w:cs="David"/>
          <w:sz w:val="24"/>
          <w:szCs w:val="24"/>
          <w:rtl/>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b/>
          <w:bCs/>
          <w:sz w:val="24"/>
          <w:szCs w:val="24"/>
          <w:rtl/>
        </w:rPr>
        <w:t xml:space="preserve">לאחר עיון בטענות הצדדים ובתיקים המתנהלים בבית המשפט קמא, ועל יסוד תקנה 149(2)(ב), תקנה 138(א)(5), תקנה 146(א)(3) לתקנות סדר הדין האזרחי, </w:t>
      </w:r>
      <w:proofErr w:type="spellStart"/>
      <w:r w:rsidRPr="00D81F92">
        <w:rPr>
          <w:rFonts w:ascii="Arial" w:eastAsia="Times New Roman" w:hAnsi="Arial" w:cs="David"/>
          <w:b/>
          <w:bCs/>
          <w:sz w:val="24"/>
          <w:szCs w:val="24"/>
          <w:rtl/>
        </w:rPr>
        <w:t>התשע"ח</w:t>
      </w:r>
      <w:proofErr w:type="spellEnd"/>
      <w:r w:rsidRPr="00D81F92">
        <w:rPr>
          <w:rFonts w:ascii="Arial" w:eastAsia="Times New Roman" w:hAnsi="Arial" w:cs="David"/>
          <w:b/>
          <w:bCs/>
          <w:sz w:val="24"/>
          <w:szCs w:val="24"/>
          <w:rtl/>
        </w:rPr>
        <w:t xml:space="preserve"> – 2018,</w:t>
      </w:r>
      <w:r w:rsidRPr="00D81F92">
        <w:rPr>
          <w:rFonts w:ascii="Arial" w:eastAsia="Times New Roman" w:hAnsi="Arial" w:cs="David"/>
          <w:sz w:val="24"/>
          <w:szCs w:val="24"/>
          <w:rtl/>
        </w:rPr>
        <w:t xml:space="preserve"> </w:t>
      </w:r>
      <w:r w:rsidRPr="00D81F92">
        <w:rPr>
          <w:rFonts w:ascii="Arial" w:eastAsia="Times New Roman" w:hAnsi="Arial" w:cs="David"/>
          <w:b/>
          <w:bCs/>
          <w:sz w:val="24"/>
          <w:szCs w:val="24"/>
          <w:rtl/>
        </w:rPr>
        <w:t xml:space="preserve">מצאתי </w:t>
      </w:r>
      <w:proofErr w:type="spellStart"/>
      <w:r w:rsidRPr="00D81F92">
        <w:rPr>
          <w:rFonts w:ascii="Arial" w:eastAsia="Times New Roman" w:hAnsi="Arial" w:cs="David"/>
          <w:b/>
          <w:bCs/>
          <w:sz w:val="24"/>
          <w:szCs w:val="24"/>
          <w:rtl/>
        </w:rPr>
        <w:t>ליתן</w:t>
      </w:r>
      <w:proofErr w:type="spellEnd"/>
      <w:r w:rsidRPr="00D81F92">
        <w:rPr>
          <w:rFonts w:ascii="Arial" w:eastAsia="Times New Roman" w:hAnsi="Arial" w:cs="David"/>
          <w:b/>
          <w:bCs/>
          <w:sz w:val="24"/>
          <w:szCs w:val="24"/>
          <w:rtl/>
        </w:rPr>
        <w:t xml:space="preserve"> למבקש הרשות לערער על החלטת בית המשפט קמא, לדון בה כבערעור ולהורות על קיום דיון מחדש ע"י בית המשפט בבקשת המבקש </w:t>
      </w:r>
      <w:proofErr w:type="spellStart"/>
      <w:r w:rsidRPr="00D81F92">
        <w:rPr>
          <w:rFonts w:ascii="Arial" w:eastAsia="Times New Roman" w:hAnsi="Arial" w:cs="David"/>
          <w:b/>
          <w:bCs/>
          <w:sz w:val="24"/>
          <w:szCs w:val="24"/>
          <w:rtl/>
        </w:rPr>
        <w:t>לסעדים</w:t>
      </w:r>
      <w:proofErr w:type="spellEnd"/>
      <w:r w:rsidRPr="00D81F92">
        <w:rPr>
          <w:rFonts w:ascii="Arial" w:eastAsia="Times New Roman" w:hAnsi="Arial" w:cs="David"/>
          <w:b/>
          <w:bCs/>
          <w:sz w:val="24"/>
          <w:szCs w:val="24"/>
          <w:rtl/>
        </w:rPr>
        <w:t xml:space="preserve"> זמניים – </w:t>
      </w:r>
      <w:proofErr w:type="spellStart"/>
      <w:r w:rsidRPr="00D81F92">
        <w:rPr>
          <w:rFonts w:ascii="Arial" w:eastAsia="Times New Roman" w:hAnsi="Arial" w:cs="David"/>
          <w:b/>
          <w:bCs/>
          <w:sz w:val="24"/>
          <w:szCs w:val="24"/>
          <w:rtl/>
        </w:rPr>
        <w:t>הכל</w:t>
      </w:r>
      <w:proofErr w:type="spellEnd"/>
      <w:r w:rsidRPr="00D81F92">
        <w:rPr>
          <w:rFonts w:ascii="Arial" w:eastAsia="Times New Roman" w:hAnsi="Arial" w:cs="David"/>
          <w:b/>
          <w:bCs/>
          <w:sz w:val="24"/>
          <w:szCs w:val="24"/>
          <w:rtl/>
        </w:rPr>
        <w:t xml:space="preserve"> מהנימוקים שיפורטו להלן. </w:t>
      </w:r>
    </w:p>
    <w:p w:rsidR="00D81F92" w:rsidRPr="00D81F92" w:rsidRDefault="00D81F92" w:rsidP="00D81F92">
      <w:pPr>
        <w:spacing w:after="0" w:line="240" w:lineRule="auto"/>
        <w:ind w:left="720"/>
        <w:contextualSpacing/>
        <w:jc w:val="both"/>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sz w:val="24"/>
          <w:szCs w:val="24"/>
          <w:rtl/>
        </w:rPr>
        <w:t>עניין לנו, כידוע, בסכסוך עסקי בין אחים. האחים חובשים לראשם כובעים מספר, ופרט לעובדה שהם בעלי המניות בחברה ואוחזים במלוא הון המניות המונפק שלה בחלקים שווים, הם גם חברי דירקטוריון בה, והמבקש משמש גם כנושא משרה בה.</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מעיון בתיקים המתנהלים בבית המשפט קמא עולה בבירור, כי הסכסוך בין האחים אינו סכסוך עבודה וודאי אינו מתמצה במחלוקת ביניהם לעניין זכאות המבקש לשכר עבודה. </w:t>
      </w:r>
    </w:p>
    <w:p w:rsidR="00D81F92" w:rsidRPr="00D81F92" w:rsidRDefault="00D81F92" w:rsidP="00D81F92">
      <w:pPr>
        <w:spacing w:after="0" w:line="360" w:lineRule="auto"/>
        <w:ind w:left="720"/>
        <w:contextualSpacing/>
        <w:jc w:val="both"/>
        <w:rPr>
          <w:rFonts w:ascii="Arial" w:eastAsia="Times New Roman" w:hAnsi="Arial" w:cs="David"/>
          <w:sz w:val="24"/>
          <w:szCs w:val="24"/>
        </w:rPr>
      </w:pPr>
    </w:p>
    <w:p w:rsidR="00D81F92" w:rsidRPr="00D81F92" w:rsidRDefault="00D81F92" w:rsidP="00D81F92">
      <w:pPr>
        <w:spacing w:after="0" w:line="360" w:lineRule="auto"/>
        <w:ind w:left="720"/>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כבכל סכסוך משפחתי, שומה על בית המשפט לענייני משפחה להביט עליו ממעוף הציפור, בפרספקטיבה רחבה, ובתוך כך גם לפתור אותו או להכריע בו על כל רבדיו. </w:t>
      </w:r>
    </w:p>
    <w:p w:rsidR="00D81F92" w:rsidRPr="00D81F92" w:rsidRDefault="00D81F92" w:rsidP="00D81F92">
      <w:pPr>
        <w:spacing w:after="0" w:line="360" w:lineRule="auto"/>
        <w:ind w:left="720"/>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זוהי אחת התכליות המרכזיות שלשמן הוקמו בתי המשפט לענייני משפחה, </w:t>
      </w:r>
      <w:proofErr w:type="spellStart"/>
      <w:r w:rsidRPr="00D81F92">
        <w:rPr>
          <w:rFonts w:ascii="Arial" w:eastAsia="Times New Roman" w:hAnsi="Arial" w:cs="David"/>
          <w:sz w:val="24"/>
          <w:szCs w:val="24"/>
          <w:rtl/>
        </w:rPr>
        <w:t>כאיסטנציה</w:t>
      </w:r>
      <w:proofErr w:type="spellEnd"/>
      <w:r w:rsidRPr="00D81F92">
        <w:rPr>
          <w:rFonts w:ascii="Arial" w:eastAsia="Times New Roman" w:hAnsi="Arial" w:cs="David"/>
          <w:sz w:val="24"/>
          <w:szCs w:val="24"/>
          <w:rtl/>
        </w:rPr>
        <w:t xml:space="preserve"> מקצועית המרכזת בידיה הטיפול בכל ההליכים הנוגעים לעניינה של משפחה פלונית ומסורה בידה סמכות רחבת היקף לדון בכל תובענה אזרחית בין אדם ובן משפחתו, שעילתה סכסוך בתוך המשפחה </w:t>
      </w:r>
      <w:r w:rsidRPr="00D81F92">
        <w:rPr>
          <w:rFonts w:ascii="Arial" w:eastAsia="Times New Roman" w:hAnsi="Arial" w:cs="David"/>
          <w:sz w:val="24"/>
          <w:szCs w:val="24"/>
          <w:u w:val="single"/>
          <w:rtl/>
        </w:rPr>
        <w:t>בכל נושא ובכל שווי שהם</w:t>
      </w:r>
      <w:r w:rsidRPr="00D81F92">
        <w:rPr>
          <w:rFonts w:ascii="Arial" w:eastAsia="Times New Roman" w:hAnsi="Arial" w:cs="David"/>
          <w:sz w:val="24"/>
          <w:szCs w:val="24"/>
          <w:rtl/>
        </w:rPr>
        <w:t xml:space="preserve"> [ראו סעיף 1(2) לחוק בית המשפט לענייני משפחה, תשנ"ה-1995].</w:t>
      </w:r>
    </w:p>
    <w:p w:rsidR="00D81F92" w:rsidRPr="00D81F92" w:rsidRDefault="00D81F92" w:rsidP="00D81F92">
      <w:pPr>
        <w:spacing w:after="0" w:line="240" w:lineRule="auto"/>
        <w:ind w:left="720"/>
        <w:contextualSpacing/>
        <w:rPr>
          <w:rFonts w:ascii="Arial" w:eastAsia="Times New Roman" w:hAnsi="Arial" w:cs="David"/>
          <w:sz w:val="24"/>
          <w:szCs w:val="24"/>
          <w:rtl/>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sz w:val="24"/>
          <w:szCs w:val="24"/>
          <w:rtl/>
        </w:rPr>
        <w:t xml:space="preserve">לא אחת, כמו במקרה דנא, מתעוררת שאלת סמכותו של בית המשפט לענייני משפחה לדון במחלוקת כזו או אחרת, אשר אלמלא זהות הצדדים לה והיותם בני משפחה, הייתה מתבררת, מסתמא, בפני פורום אחר. מטבע הדברים, ובהינתן ההשקה והחפיפה בין תחומי פריסתן של הערכאות, ההכרעה בעניין הסמכות העניינית אינה תמיד ברורה ופשוטה.   </w:t>
      </w:r>
    </w:p>
    <w:p w:rsidR="00D81F92" w:rsidRPr="00D81F92" w:rsidRDefault="00D81F92" w:rsidP="00D81F92">
      <w:pPr>
        <w:spacing w:after="0" w:line="360" w:lineRule="auto"/>
        <w:ind w:left="720"/>
        <w:contextualSpacing/>
        <w:jc w:val="both"/>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sz w:val="24"/>
          <w:szCs w:val="24"/>
          <w:rtl/>
        </w:rPr>
        <w:t xml:space="preserve">כידוע, בית המשפט העליון נדרש לשאלה זו </w:t>
      </w:r>
      <w:r w:rsidRPr="00D81F92">
        <w:rPr>
          <w:rFonts w:ascii="Arial" w:eastAsia="Times New Roman" w:hAnsi="Arial" w:cs="David"/>
          <w:b/>
          <w:bCs/>
          <w:sz w:val="24"/>
          <w:szCs w:val="24"/>
          <w:rtl/>
        </w:rPr>
        <w:t xml:space="preserve">בפרשת </w:t>
      </w:r>
      <w:proofErr w:type="spellStart"/>
      <w:r w:rsidRPr="00D81F92">
        <w:rPr>
          <w:rFonts w:ascii="Arial" w:eastAsia="Times New Roman" w:hAnsi="Arial" w:cs="David"/>
          <w:b/>
          <w:bCs/>
          <w:sz w:val="24"/>
          <w:szCs w:val="24"/>
          <w:rtl/>
        </w:rPr>
        <w:t>חבס</w:t>
      </w:r>
      <w:proofErr w:type="spellEnd"/>
      <w:r w:rsidRPr="00D81F92">
        <w:rPr>
          <w:rFonts w:ascii="Arial" w:eastAsia="Times New Roman" w:hAnsi="Arial" w:cs="David"/>
          <w:b/>
          <w:bCs/>
          <w:sz w:val="24"/>
          <w:szCs w:val="24"/>
          <w:rtl/>
        </w:rPr>
        <w:t xml:space="preserve"> </w:t>
      </w:r>
      <w:r w:rsidRPr="00D81F92">
        <w:rPr>
          <w:rFonts w:ascii="Arial" w:eastAsia="Times New Roman" w:hAnsi="Arial" w:cs="David"/>
          <w:sz w:val="24"/>
          <w:szCs w:val="24"/>
          <w:rtl/>
        </w:rPr>
        <w:t xml:space="preserve">[רע"א 6558/99 </w:t>
      </w:r>
      <w:proofErr w:type="spellStart"/>
      <w:r w:rsidRPr="00D81F92">
        <w:rPr>
          <w:rFonts w:ascii="Arial" w:eastAsia="Times New Roman" w:hAnsi="Arial" w:cs="David"/>
          <w:b/>
          <w:bCs/>
          <w:sz w:val="24"/>
          <w:szCs w:val="24"/>
          <w:rtl/>
        </w:rPr>
        <w:t>חבס</w:t>
      </w:r>
      <w:proofErr w:type="spellEnd"/>
      <w:r w:rsidRPr="00D81F92">
        <w:rPr>
          <w:rFonts w:ascii="Arial" w:eastAsia="Times New Roman" w:hAnsi="Arial" w:cs="David"/>
          <w:b/>
          <w:bCs/>
          <w:sz w:val="24"/>
          <w:szCs w:val="24"/>
          <w:rtl/>
        </w:rPr>
        <w:t xml:space="preserve"> ואח' נ' </w:t>
      </w:r>
      <w:proofErr w:type="spellStart"/>
      <w:r w:rsidRPr="00D81F92">
        <w:rPr>
          <w:rFonts w:ascii="Arial" w:eastAsia="Times New Roman" w:hAnsi="Arial" w:cs="David"/>
          <w:b/>
          <w:bCs/>
          <w:sz w:val="24"/>
          <w:szCs w:val="24"/>
          <w:rtl/>
        </w:rPr>
        <w:t>חבס</w:t>
      </w:r>
      <w:proofErr w:type="spellEnd"/>
      <w:r w:rsidRPr="00D81F92">
        <w:rPr>
          <w:rFonts w:ascii="Arial" w:eastAsia="Times New Roman" w:hAnsi="Arial" w:cs="David"/>
          <w:sz w:val="24"/>
          <w:szCs w:val="24"/>
          <w:rtl/>
        </w:rPr>
        <w:t xml:space="preserve">, פ"ד נד(4), 337] ועמד על הקשר הנדרש בין התובענה האזרחית לסכסוך המשפחתי בזיקה לשאלת הסמכות, בקבעו, כי אמת המידה להכרעה בשאלה האמורה היא שהסכסוך המשפחתי תרם תרומה משמעותית לגיבושה של עילת התביעה, וכך , בין השאר, נקבע על ידו (בעמ' 344): </w:t>
      </w:r>
    </w:p>
    <w:p w:rsidR="00D81F92" w:rsidRPr="00D81F92" w:rsidRDefault="00D81F92" w:rsidP="00D81F92">
      <w:pPr>
        <w:spacing w:after="0" w:line="360" w:lineRule="auto"/>
        <w:ind w:left="720"/>
        <w:contextualSpacing/>
        <w:jc w:val="both"/>
        <w:rPr>
          <w:rFonts w:ascii="Arial" w:eastAsia="Times New Roman" w:hAnsi="Arial" w:cs="David"/>
          <w:sz w:val="24"/>
          <w:szCs w:val="24"/>
          <w:rtl/>
        </w:rPr>
      </w:pPr>
    </w:p>
    <w:p w:rsidR="00D81F92" w:rsidRPr="00D81F92" w:rsidRDefault="00D81F92" w:rsidP="00D81F92">
      <w:pPr>
        <w:spacing w:after="0" w:line="360" w:lineRule="auto"/>
        <w:ind w:left="720"/>
        <w:contextualSpacing/>
        <w:jc w:val="both"/>
        <w:rPr>
          <w:rFonts w:ascii="Arial" w:eastAsia="Times New Roman" w:hAnsi="Arial" w:cs="David"/>
          <w:b/>
          <w:bCs/>
          <w:sz w:val="24"/>
          <w:szCs w:val="24"/>
          <w:rtl/>
        </w:rPr>
      </w:pPr>
      <w:r w:rsidRPr="00D81F92">
        <w:rPr>
          <w:rFonts w:ascii="Arial" w:eastAsia="Times New Roman" w:hAnsi="Arial" w:cs="David"/>
          <w:b/>
          <w:bCs/>
          <w:sz w:val="24"/>
          <w:szCs w:val="24"/>
          <w:rtl/>
        </w:rPr>
        <w:t>"נמצא, כי מחד גיסא לא די בקשר רחוק וזניח. מאידך גיסא לא נדרש שהסיבה היחידה והבלעדית להיווצרותה של עילת התביעה הוא הסכסוך המשפחתי. די בכך שהסכסוך המשפחתי תרם תרומה נכבדה וחשובה להיווצרותה של עילת התביעה, כדי שנראה את עילתה של התובענה בסכסוך בתוך המשפחה. גישה זו מתבקשת מהתכלית המונחת ביסוד סמכותו של בית-המשפט לענייני משפחה. סמכות זו נועדה לרכז בבית-משפט אחד - הוא בית-המשפט לענייני משפחה - את הסכסוך המשפחתי על כל היבטיו, תוך ניסיון לפתור אותו בכלים המיוחדים שהוענקו לבית-המשפט לענייני משפחה...".</w:t>
      </w:r>
    </w:p>
    <w:p w:rsidR="00D81F92" w:rsidRPr="00D81F92" w:rsidRDefault="00D81F92" w:rsidP="00D81F92">
      <w:pPr>
        <w:spacing w:after="0" w:line="360" w:lineRule="auto"/>
        <w:ind w:left="720"/>
        <w:contextualSpacing/>
        <w:jc w:val="both"/>
        <w:rPr>
          <w:rFonts w:ascii="Arial" w:eastAsia="Times New Roman" w:hAnsi="Arial" w:cs="David"/>
          <w:sz w:val="24"/>
          <w:szCs w:val="24"/>
          <w:rtl/>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על העקרונות הללו עמד בית המשפט העליון גם </w:t>
      </w:r>
      <w:r w:rsidRPr="00D81F92">
        <w:rPr>
          <w:rFonts w:ascii="Arial" w:eastAsia="Times New Roman" w:hAnsi="Arial" w:cs="David"/>
          <w:b/>
          <w:bCs/>
          <w:sz w:val="24"/>
          <w:szCs w:val="24"/>
          <w:rtl/>
        </w:rPr>
        <w:t>בפרשת חיים</w:t>
      </w:r>
      <w:r w:rsidRPr="00D81F92">
        <w:rPr>
          <w:rFonts w:ascii="Arial" w:eastAsia="Times New Roman" w:hAnsi="Arial" w:cs="David"/>
          <w:sz w:val="24"/>
          <w:szCs w:val="24"/>
          <w:rtl/>
        </w:rPr>
        <w:t xml:space="preserve"> [ע"א 1662/99 </w:t>
      </w:r>
      <w:r w:rsidRPr="00D81F92">
        <w:rPr>
          <w:rFonts w:ascii="Arial" w:eastAsia="Times New Roman" w:hAnsi="Arial" w:cs="David"/>
          <w:b/>
          <w:bCs/>
          <w:sz w:val="24"/>
          <w:szCs w:val="24"/>
          <w:rtl/>
        </w:rPr>
        <w:t>חיים נ' חיים</w:t>
      </w:r>
      <w:r w:rsidRPr="00D81F92">
        <w:rPr>
          <w:rFonts w:ascii="Arial" w:eastAsia="Times New Roman" w:hAnsi="Arial" w:cs="David"/>
          <w:sz w:val="24"/>
          <w:szCs w:val="24"/>
          <w:rtl/>
        </w:rPr>
        <w:t xml:space="preserve"> ו-6 אח', פ"ד נו(6), 295] בקבעו (בעמ' 308) כהאי לישנא:</w:t>
      </w:r>
    </w:p>
    <w:p w:rsidR="00D81F92" w:rsidRPr="00D81F92" w:rsidRDefault="00D81F92" w:rsidP="00D81F92">
      <w:pPr>
        <w:spacing w:after="0" w:line="360" w:lineRule="auto"/>
        <w:ind w:left="720"/>
        <w:contextualSpacing/>
        <w:jc w:val="both"/>
        <w:rPr>
          <w:rFonts w:ascii="Arial" w:eastAsia="Times New Roman" w:hAnsi="Arial" w:cs="David"/>
          <w:b/>
          <w:bCs/>
          <w:sz w:val="24"/>
          <w:szCs w:val="24"/>
          <w:rtl/>
        </w:rPr>
      </w:pPr>
      <w:r w:rsidRPr="00D81F92">
        <w:rPr>
          <w:rFonts w:ascii="Arial" w:eastAsia="Times New Roman" w:hAnsi="Arial" w:cs="David"/>
          <w:b/>
          <w:bCs/>
          <w:sz w:val="24"/>
          <w:szCs w:val="24"/>
          <w:rtl/>
        </w:rPr>
        <w:t xml:space="preserve">"סיווגו של עניין כמצוי בסמכות בית-משפט רגיל או בית-משפט לענייני משפחה לעתים אינו קל. עניינים שאינם נוגעים למעמד אישי במובהק משלבים בתוכם, על-פי רוב, יסודות של מחלוקת אזרחית ושל סכסוך משפחתי אלה באלה. נדרש אפוא להכריע מה </w:t>
      </w:r>
      <w:proofErr w:type="spellStart"/>
      <w:r w:rsidRPr="00D81F92">
        <w:rPr>
          <w:rFonts w:ascii="Arial" w:eastAsia="Times New Roman" w:hAnsi="Arial" w:cs="David"/>
          <w:b/>
          <w:bCs/>
          <w:sz w:val="24"/>
          <w:szCs w:val="24"/>
          <w:rtl/>
        </w:rPr>
        <w:t>מביניהם</w:t>
      </w:r>
      <w:proofErr w:type="spellEnd"/>
      <w:r w:rsidRPr="00D81F92">
        <w:rPr>
          <w:rFonts w:ascii="Arial" w:eastAsia="Times New Roman" w:hAnsi="Arial" w:cs="David"/>
          <w:b/>
          <w:bCs/>
          <w:sz w:val="24"/>
          <w:szCs w:val="24"/>
          <w:rtl/>
        </w:rPr>
        <w:t xml:space="preserve"> הוא היסוד הדומיננטי, ובהתאם לקביעה זו ישויך עניין לערכאה זו או האחרת. במסגרת בחינה זו יישקל אופיו של הסכסוך המשפחתי, בין היתר מבחינת הצורך כי ערכאה מיוחדת המצוידת במנגנון מקצועי מיוחד תדון בו, או כעניין שעיקרו אזרחי, שערכאה בעלת סמכות רגילה ערוכה לפסוק בו.</w:t>
      </w:r>
    </w:p>
    <w:p w:rsidR="00D81F92" w:rsidRPr="00D81F92" w:rsidRDefault="00D81F92" w:rsidP="00D81F92">
      <w:pPr>
        <w:spacing w:after="0" w:line="360" w:lineRule="auto"/>
        <w:ind w:left="720"/>
        <w:contextualSpacing/>
        <w:jc w:val="both"/>
        <w:rPr>
          <w:rFonts w:ascii="Arial" w:eastAsia="Times New Roman" w:hAnsi="Arial" w:cs="David"/>
          <w:b/>
          <w:bCs/>
          <w:sz w:val="24"/>
          <w:szCs w:val="24"/>
          <w:rtl/>
        </w:rPr>
      </w:pPr>
      <w:r w:rsidRPr="00D81F92">
        <w:rPr>
          <w:rFonts w:ascii="Arial" w:eastAsia="Times New Roman" w:hAnsi="Arial" w:cs="David"/>
          <w:b/>
          <w:bCs/>
          <w:sz w:val="24"/>
          <w:szCs w:val="24"/>
          <w:rtl/>
        </w:rPr>
        <w:t>מלאכת הסיווג האמורה מצריכה, על-פי טיבה, בירור נתונים עובדתיים בעלי אופי אובייקטיבי וסובייקטיבי. יש לבחון נתונים אובייקטיביים העומדים ברקע הסכסוך המשפחתי כמו, למשל, משך הזמן שבו מתקיים הסכסוך, אם שותפים לו רק בני משפחה או גם זרים, אם הסכסוך מתייחס לעניין נקודתי או מתפרס על כלל היחסים בין הצדדים ואם, בראייה כוללת, מדובר במערכת יחסים בעלת אופי כזה המצריכה כי גורמים מקצועיים העומדים לרשות בית-המשפט לענייני משפחה, לרבות גורמים לבר-משפטיים, יסייעו לפתרון כולל של המשבר המשפחתי ומצדיקה זאת.</w:t>
      </w:r>
    </w:p>
    <w:p w:rsidR="00D81F92" w:rsidRPr="00D81F92" w:rsidRDefault="00D81F92" w:rsidP="00D81F92">
      <w:pPr>
        <w:spacing w:after="0" w:line="360" w:lineRule="auto"/>
        <w:ind w:left="720"/>
        <w:contextualSpacing/>
        <w:jc w:val="both"/>
        <w:rPr>
          <w:rFonts w:ascii="Arial" w:eastAsia="Times New Roman" w:hAnsi="Arial" w:cs="David"/>
          <w:b/>
          <w:bCs/>
          <w:sz w:val="24"/>
          <w:szCs w:val="24"/>
          <w:rtl/>
        </w:rPr>
      </w:pPr>
      <w:r w:rsidRPr="00D81F92">
        <w:rPr>
          <w:rFonts w:ascii="Arial" w:eastAsia="Times New Roman" w:hAnsi="Arial" w:cs="David"/>
          <w:b/>
          <w:bCs/>
          <w:sz w:val="24"/>
          <w:szCs w:val="24"/>
          <w:rtl/>
        </w:rPr>
        <w:t>בצד הנתונים האובייקטיביים ישנה חשיבות גם לפן הסובייקטיבי הבוחן את התייחסות הצדדים עצמם לסכסוך שביניהם. רוצה לומר, איך הם עצמם משקיפים על המחלוקת ביניהם - אם כסכסוך בעל אופי משפחתי או כמחלוקת שעיקרה אזרחי אשר פתרונה אמור להימצא במסגרת הכרעה אזרחית רגילה. הדגשים שהצדדים עצמם מניחים על אופי היריבות ביניהם חשובים במלאכת איתור היסוד הדומיננטי במחלוקת לצורך סיווגו של הנושא לסמכות העניינית של הערכאה המתאימה".</w:t>
      </w:r>
    </w:p>
    <w:p w:rsidR="00D81F92" w:rsidRPr="00D81F92" w:rsidRDefault="00D81F92" w:rsidP="00D81F92">
      <w:pPr>
        <w:spacing w:after="0" w:line="360" w:lineRule="auto"/>
        <w:ind w:left="720"/>
        <w:contextualSpacing/>
        <w:jc w:val="both"/>
        <w:rPr>
          <w:rFonts w:ascii="Arial" w:eastAsia="Times New Roman" w:hAnsi="Arial" w:cs="David"/>
          <w:sz w:val="24"/>
          <w:szCs w:val="24"/>
          <w:rtl/>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lastRenderedPageBreak/>
        <w:t xml:space="preserve">ולהשלמת התמונה, בפרט בנוגע לפרשה שלפנינו, יפים דברי השופטת א' </w:t>
      </w:r>
      <w:proofErr w:type="spellStart"/>
      <w:r w:rsidRPr="00D81F92">
        <w:rPr>
          <w:rFonts w:ascii="Arial" w:eastAsia="Times New Roman" w:hAnsi="Arial" w:cs="David"/>
          <w:sz w:val="24"/>
          <w:szCs w:val="24"/>
          <w:rtl/>
        </w:rPr>
        <w:t>פרוקציה</w:t>
      </w:r>
      <w:proofErr w:type="spellEnd"/>
      <w:r w:rsidRPr="00D81F92">
        <w:rPr>
          <w:rFonts w:ascii="Arial" w:eastAsia="Times New Roman" w:hAnsi="Arial" w:cs="David"/>
          <w:sz w:val="24"/>
          <w:szCs w:val="24"/>
          <w:rtl/>
        </w:rPr>
        <w:t xml:space="preserve"> ב-בע"מ 9948/04 </w:t>
      </w:r>
      <w:r w:rsidRPr="00D81F92">
        <w:rPr>
          <w:rFonts w:ascii="Arial" w:eastAsia="Times New Roman" w:hAnsi="Arial" w:cs="David"/>
          <w:b/>
          <w:bCs/>
          <w:sz w:val="24"/>
          <w:szCs w:val="24"/>
          <w:rtl/>
        </w:rPr>
        <w:t>פלוני נ' פלונית</w:t>
      </w:r>
      <w:r w:rsidRPr="00D81F92">
        <w:rPr>
          <w:rFonts w:ascii="Arial" w:eastAsia="Times New Roman" w:hAnsi="Arial" w:cs="David"/>
          <w:sz w:val="24"/>
          <w:szCs w:val="24"/>
          <w:rtl/>
        </w:rPr>
        <w:t xml:space="preserve"> (פורסם במאגרים האלקטרוניים): </w:t>
      </w:r>
    </w:p>
    <w:p w:rsidR="00D81F92" w:rsidRPr="00D81F92" w:rsidRDefault="00D81F92" w:rsidP="00D81F92">
      <w:pPr>
        <w:spacing w:after="0" w:line="360" w:lineRule="auto"/>
        <w:ind w:left="720"/>
        <w:contextualSpacing/>
        <w:jc w:val="both"/>
        <w:rPr>
          <w:rFonts w:ascii="Times New Roman" w:eastAsia="Times New Roman" w:hAnsi="Times New Roman" w:cs="David"/>
          <w:b/>
          <w:bCs/>
          <w:sz w:val="28"/>
          <w:szCs w:val="24"/>
          <w:rtl/>
        </w:rPr>
      </w:pPr>
    </w:p>
    <w:p w:rsidR="00D81F92" w:rsidRPr="00D81F92" w:rsidRDefault="00D81F92" w:rsidP="00D81F92">
      <w:pPr>
        <w:spacing w:after="0" w:line="360" w:lineRule="auto"/>
        <w:ind w:left="720"/>
        <w:contextualSpacing/>
        <w:jc w:val="both"/>
        <w:rPr>
          <w:rFonts w:ascii="Arial" w:eastAsia="Times New Roman" w:hAnsi="Arial" w:cs="David"/>
          <w:sz w:val="24"/>
          <w:szCs w:val="24"/>
          <w:rtl/>
        </w:rPr>
      </w:pPr>
      <w:r w:rsidRPr="00D81F92">
        <w:rPr>
          <w:rFonts w:ascii="Times New Roman" w:eastAsia="Times New Roman" w:hAnsi="Times New Roman" w:cs="David"/>
          <w:b/>
          <w:bCs/>
          <w:sz w:val="28"/>
          <w:szCs w:val="24"/>
          <w:rtl/>
        </w:rPr>
        <w:t>"ההכרעה איזו היא הערכאה המוסמכת לדון ולהכריע בעניין אינה קלה, והיא נחתכת על פי הסיווג הענייני של עילת התובענה. מאחר שלפנינו עילה שכרוכים בה יסודות משולבים של יחסי עבודה וסכסוך בתוך המשפחה, אין מנוס מהערכת המשקל היחסי בין היסודות האמורים, תוך חיפוש אחר המרכיב הדומיננטי המאפיין את המחלוקת, אשר על פיו תוכרע שאלת הסמכות".</w:t>
      </w:r>
    </w:p>
    <w:p w:rsidR="00D81F92" w:rsidRPr="00D81F92" w:rsidRDefault="00D81F92" w:rsidP="00D81F92">
      <w:pPr>
        <w:spacing w:after="0" w:line="360" w:lineRule="auto"/>
        <w:ind w:left="720"/>
        <w:contextualSpacing/>
        <w:jc w:val="both"/>
        <w:rPr>
          <w:rFonts w:ascii="Arial" w:eastAsia="Times New Roman" w:hAnsi="Arial" w:cs="David"/>
          <w:sz w:val="24"/>
          <w:szCs w:val="24"/>
          <w:rtl/>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במקרה דנא מצאתי, כי בהינתן שמדובר בחברה הנושאת אופי משפחתי, ובתפקידי מפתח בה מועסקים, בני משפחה אחת, אחים ואחיינים, עת נהיר, שלב לבה של המחלוקת אינו בגזרת יחסי העבודה, כי אם בסכסוך בין האחים-בעלי החברה, במאבקי הכוח הנטושים ביניהם ובגורלה של הבעלות המשותפת בחברה, לגביה קשה להשתחרר מן הרושם, שככל הנראה היא הגיעה אל קצה,  אזי אופי הסכסוך הוא משפחתי בעיקרו והוא שולח פארותיו לעבר כיוונים שונים, ובהם גם דיני העבודה. </w:t>
      </w:r>
    </w:p>
    <w:p w:rsidR="00D81F92" w:rsidRPr="00D81F92" w:rsidRDefault="00D81F92" w:rsidP="00D81F92">
      <w:pPr>
        <w:spacing w:after="0" w:line="240" w:lineRule="auto"/>
        <w:ind w:left="720"/>
        <w:contextualSpacing/>
        <w:jc w:val="both"/>
        <w:rPr>
          <w:rFonts w:ascii="Arial" w:eastAsia="Times New Roman" w:hAnsi="Arial" w:cs="David"/>
          <w:sz w:val="24"/>
          <w:szCs w:val="24"/>
          <w:rtl/>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sz w:val="24"/>
          <w:szCs w:val="24"/>
          <w:rtl/>
        </w:rPr>
        <w:t xml:space="preserve">הנה כי כן, סירוב של מי מהאחים לעשות שימוש בזכות החתימה שלו באופן הפוגע באיזו מזכויות המבקש או המשיב 1, בין בכובעם כבעלי מניות (הזכאים לחלוקת דיבידנד) ובין בכובעם כנושאי משרה (הזכאים לשכר עבודה ולזכויות סוציאליות), אינו בגדר עילת הסכסוך כי אם אחד מן התבחינים שלו.  </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יתר על כן, לית מאן דפליג, כי אין יחסי עובד-מעביד בין האחים, וככל שהחברה אינה עומדת בחובותיה כלפי מי מהם כמעסיקה, הרי שמן המונח לפניי עולה, כי האפשרות המסתברת יותר היא שאין זאת אלא תוצאה של היריבות ביניהם כבעלי המניות בה.    </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דווקא הטענה שגם זכויותיהם הסוציאליות בני משפחה נוספים – ילדיהם של מי מן האחים המועסקים בחברה נפגעות מלמדת כאלף עדים, שההסבר לאי ביצוע התשלומים ע"י החברה למבקש השאוב מדיני העבודה אינו ענייני אלא נעוץ בסכסוך בין האחים ובמאבקי הכוחות ביניהם.  </w:t>
      </w:r>
    </w:p>
    <w:p w:rsidR="00D81F92" w:rsidRPr="00D81F92" w:rsidRDefault="00D81F92" w:rsidP="00D81F92">
      <w:pPr>
        <w:spacing w:after="0" w:line="240" w:lineRule="auto"/>
        <w:ind w:left="720"/>
        <w:contextualSpacing/>
        <w:rPr>
          <w:rFonts w:ascii="Arial" w:eastAsia="Times New Roman" w:hAnsi="Arial" w:cs="David"/>
          <w:sz w:val="24"/>
          <w:szCs w:val="24"/>
          <w:rtl/>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Pr>
      </w:pPr>
      <w:r w:rsidRPr="00D81F92">
        <w:rPr>
          <w:rFonts w:ascii="Arial" w:eastAsia="Times New Roman" w:hAnsi="Arial" w:cs="David"/>
          <w:sz w:val="24"/>
          <w:szCs w:val="24"/>
          <w:rtl/>
        </w:rPr>
        <w:t xml:space="preserve">צא ולמד, כי המחלוקת בין האחים כשם שהיא משתקפת מכתבי הטענות שלהם בהליכים בבית המשפט קמא היא בעניין תקפה של העברת המניות מידי המשיב 1 למבקש במתנה מזה, ובעניין ההיפרדות ביניהם, לרבות המנגנון לביצועה מזה, תוך שעולה מהם בבירור, כי היא באה לידי ביטוי בעיקר באופן ניהולן השוטף של החברות.  </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הנה כי כן, יש בהתייחסות לבקשת המבקש לקבלת סעד זמני, בין אם צו עשה ובין אם צו מניעה, שיבטיח תשלום שכרו כתביעה לשכר עבודה, מידה מסוימת של מלאכותיות, שהרי אין הוא כאחד העובדים כי אם אחד מבעלי החברה, מורשה חתימה שלה וחבר בדירקטוריון שלה. השאלה העיקרית שעל בית המשפט קמא להתמודד עמה, ולו בעת הזו, היא האם על רקע הסכסוך בין האחים לא נפגעת טובת החברה והאם במצב דברים זה, עת </w:t>
      </w:r>
      <w:r w:rsidRPr="00D81F92">
        <w:rPr>
          <w:rFonts w:ascii="Arial" w:eastAsia="Times New Roman" w:hAnsi="Arial" w:cs="David"/>
          <w:sz w:val="24"/>
          <w:szCs w:val="24"/>
          <w:rtl/>
        </w:rPr>
        <w:lastRenderedPageBreak/>
        <w:t>לא הייתה במהלך השנה החולפת התקדמות של ממש בהליך וטרם הוגשו חוות דעת המומחים, אין מקום למתן הוראות מתאימות בעניין אופן ניהול החברה בתקופת ביניים זו.</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spacing w:after="0" w:line="360" w:lineRule="auto"/>
        <w:ind w:left="720"/>
        <w:contextualSpacing/>
        <w:jc w:val="both"/>
        <w:rPr>
          <w:rFonts w:ascii="Arial" w:eastAsia="Times New Roman" w:hAnsi="Arial" w:cs="David"/>
          <w:sz w:val="24"/>
          <w:szCs w:val="24"/>
          <w:rtl/>
        </w:rPr>
      </w:pPr>
      <w:r w:rsidRPr="00D81F92">
        <w:rPr>
          <w:rFonts w:ascii="Arial" w:eastAsia="Times New Roman" w:hAnsi="Arial" w:cs="David"/>
          <w:sz w:val="24"/>
          <w:szCs w:val="24"/>
          <w:rtl/>
        </w:rPr>
        <w:t xml:space="preserve">בהקשר זה יצוין, כי לא נעלם מעיניי שהוגשה ע"י המבקש בקשה נוספת </w:t>
      </w:r>
      <w:proofErr w:type="spellStart"/>
      <w:r w:rsidRPr="00D81F92">
        <w:rPr>
          <w:rFonts w:ascii="Arial" w:eastAsia="Times New Roman" w:hAnsi="Arial" w:cs="David"/>
          <w:sz w:val="24"/>
          <w:szCs w:val="24"/>
          <w:rtl/>
        </w:rPr>
        <w:t>לסעדים</w:t>
      </w:r>
      <w:proofErr w:type="spellEnd"/>
      <w:r w:rsidRPr="00D81F92">
        <w:rPr>
          <w:rFonts w:ascii="Arial" w:eastAsia="Times New Roman" w:hAnsi="Arial" w:cs="David"/>
          <w:sz w:val="24"/>
          <w:szCs w:val="24"/>
          <w:rtl/>
        </w:rPr>
        <w:t xml:space="preserve"> זמניים, לאחר הגשת הבקשה לרשות ערעור שלפנינו, עקב סירוב המשיב 1 לחתום על הוראות תשלום לספקים ולרשויות, אשר בסופו של יום התייתר הדיון בה עקב חתימה המשיב 1 על הוראות התשלום.</w:t>
      </w:r>
    </w:p>
    <w:p w:rsidR="00D81F92" w:rsidRPr="00D81F92" w:rsidRDefault="00D81F92" w:rsidP="00D81F92">
      <w:pPr>
        <w:spacing w:after="0" w:line="240" w:lineRule="auto"/>
        <w:ind w:left="720"/>
        <w:contextualSpacing/>
        <w:rPr>
          <w:rFonts w:ascii="Arial" w:eastAsia="Times New Roman" w:hAnsi="Arial" w:cs="David"/>
          <w:sz w:val="24"/>
          <w:szCs w:val="24"/>
        </w:rPr>
      </w:pPr>
    </w:p>
    <w:p w:rsidR="00D81F92" w:rsidRPr="00D81F92" w:rsidRDefault="00D81F92" w:rsidP="00D81F92">
      <w:pPr>
        <w:numPr>
          <w:ilvl w:val="0"/>
          <w:numId w:val="1"/>
        </w:numPr>
        <w:spacing w:after="0" w:line="360" w:lineRule="auto"/>
        <w:contextualSpacing/>
        <w:jc w:val="both"/>
        <w:rPr>
          <w:rFonts w:ascii="David" w:eastAsia="Times New Roman" w:hAnsi="David" w:cs="David"/>
          <w:sz w:val="24"/>
          <w:szCs w:val="24"/>
          <w:rtl/>
        </w:rPr>
      </w:pPr>
      <w:r w:rsidRPr="00D81F92">
        <w:rPr>
          <w:rFonts w:ascii="David" w:eastAsia="Times New Roman" w:hAnsi="David" w:cs="David"/>
          <w:sz w:val="24"/>
          <w:szCs w:val="24"/>
          <w:rtl/>
        </w:rPr>
        <w:t xml:space="preserve">לפיכך ומשבאתי לכדי מסקנה, כי הציר המרכזי עליו נסוב הסכסוך בין האחים הוא הבעלות המשותפת בחברה, והוא בא לידי ביטוי גם באופן השימוש בזכויות החתימה שלהם, כי אז  לא מצאתי מקום לכרוך התביעות שהוגשו לבית הדין לעבודה כנגד החברה ע"י מי מבני המשפחה המועסקים על ידה למחלוקת בין האחים ולבקשה </w:t>
      </w:r>
      <w:proofErr w:type="spellStart"/>
      <w:r w:rsidRPr="00D81F92">
        <w:rPr>
          <w:rFonts w:ascii="David" w:eastAsia="Times New Roman" w:hAnsi="David" w:cs="David"/>
          <w:sz w:val="24"/>
          <w:szCs w:val="24"/>
          <w:rtl/>
        </w:rPr>
        <w:t>לסעדים</w:t>
      </w:r>
      <w:proofErr w:type="spellEnd"/>
      <w:r w:rsidRPr="00D81F92">
        <w:rPr>
          <w:rFonts w:ascii="David" w:eastAsia="Times New Roman" w:hAnsi="David" w:cs="David"/>
          <w:sz w:val="24"/>
          <w:szCs w:val="24"/>
          <w:rtl/>
        </w:rPr>
        <w:t xml:space="preserve"> זמניים נושא דיוננו. יתר על כן, דווקא פתרון הסכסוך בהיבט של ניהול החברה, שהוא בסמכות בית המשפט לענייני משפחה, ישפיע גם על מערכת היחסים בינה ובין עובדיה אשר על פי הנטען, וזאת מבלי להביע עמדה או לטעת מסמרות, זכויותיהם נפגעות עקב הכשל הניהולי (הנובע, כאמור, מן הסכסוך בין בעלי המניות).</w:t>
      </w:r>
    </w:p>
    <w:p w:rsidR="00D81F92" w:rsidRPr="00D81F92" w:rsidRDefault="00D81F92" w:rsidP="00D81F92">
      <w:pPr>
        <w:spacing w:after="0" w:line="240" w:lineRule="auto"/>
        <w:ind w:left="720"/>
        <w:contextualSpacing/>
        <w:rPr>
          <w:rFonts w:ascii="David" w:eastAsia="Times New Roman" w:hAnsi="David" w:cs="David"/>
          <w:sz w:val="24"/>
          <w:szCs w:val="24"/>
        </w:rPr>
      </w:pPr>
    </w:p>
    <w:p w:rsidR="00D81F92" w:rsidRPr="00D81F92" w:rsidRDefault="00D81F92" w:rsidP="00D81F92">
      <w:pPr>
        <w:numPr>
          <w:ilvl w:val="0"/>
          <w:numId w:val="1"/>
        </w:numPr>
        <w:spacing w:after="0" w:line="360" w:lineRule="auto"/>
        <w:contextualSpacing/>
        <w:jc w:val="both"/>
        <w:rPr>
          <w:rFonts w:ascii="David" w:eastAsia="Times New Roman" w:hAnsi="David" w:cs="David"/>
          <w:sz w:val="24"/>
          <w:szCs w:val="24"/>
          <w:rtl/>
        </w:rPr>
      </w:pPr>
      <w:r w:rsidRPr="00D81F92">
        <w:rPr>
          <w:rFonts w:ascii="David" w:eastAsia="Times New Roman" w:hAnsi="David" w:cs="David"/>
          <w:sz w:val="24"/>
          <w:szCs w:val="24"/>
          <w:rtl/>
        </w:rPr>
        <w:t xml:space="preserve">הנה כי כן, משבית המשפט לענייני משפחה דן בסכסוך בין האחים, שאופיו וטיבו שורטטו בקווים כלליים לעיל, מכיר הסכסוך על כל היבטיו, מערכת היחסים בין האחים ומלוא טענות הצדדים הובאו לפניו, הרי שזולת הנימוקים שבדין וצוינו לעיל, גם משיקולי יעילות, הגינות וצדק, יש להותיר ההכרעה בבקשת המבקש בידיו ולא להעבירה לערכאה אחרת.  </w:t>
      </w:r>
    </w:p>
    <w:p w:rsidR="00D81F92" w:rsidRPr="00D81F92" w:rsidRDefault="00D81F92" w:rsidP="00D81F92">
      <w:pPr>
        <w:spacing w:after="0" w:line="240" w:lineRule="auto"/>
        <w:ind w:left="720"/>
        <w:contextualSpacing/>
        <w:rPr>
          <w:rFonts w:ascii="David" w:eastAsia="Times New Roman" w:hAnsi="David" w:cs="David"/>
          <w:sz w:val="24"/>
          <w:szCs w:val="24"/>
        </w:rPr>
      </w:pPr>
    </w:p>
    <w:p w:rsidR="00D81F92" w:rsidRPr="00D81F92" w:rsidRDefault="00D81F92" w:rsidP="00D81F92">
      <w:pPr>
        <w:spacing w:after="0" w:line="360" w:lineRule="auto"/>
        <w:ind w:left="720"/>
        <w:contextualSpacing/>
        <w:jc w:val="both"/>
        <w:rPr>
          <w:rFonts w:ascii="David" w:eastAsia="Times New Roman" w:hAnsi="David" w:cs="David"/>
          <w:sz w:val="24"/>
          <w:szCs w:val="24"/>
          <w:rtl/>
        </w:rPr>
      </w:pPr>
      <w:r w:rsidRPr="00D81F92">
        <w:rPr>
          <w:rFonts w:ascii="David" w:eastAsia="Times New Roman" w:hAnsi="David" w:cs="David"/>
          <w:sz w:val="24"/>
          <w:szCs w:val="24"/>
          <w:rtl/>
        </w:rPr>
        <w:t>בנקודה זו יצוין עוד, כי בידי בית המשפט קמא הכלים להכריע גם בטענות הצדדים (שנטענו ברובד העובדתי בלבד) בעניין זכאות המבקש לתשלום כזה או אחר, לרבות באמצעות המומחה שמונה על ידו כרו"ח חוקר, אשר יש בידו לבחון התנהלותה של החברה, לא רק בפן הכספי, עובר לפרוץ הסכסוך בין האחים.</w:t>
      </w:r>
    </w:p>
    <w:p w:rsidR="00D81F92" w:rsidRPr="00D81F92" w:rsidRDefault="00D81F92" w:rsidP="00D81F92">
      <w:pPr>
        <w:spacing w:after="0" w:line="240" w:lineRule="auto"/>
        <w:ind w:left="720"/>
        <w:contextualSpacing/>
        <w:jc w:val="both"/>
        <w:rPr>
          <w:rFonts w:ascii="David" w:eastAsia="Times New Roman" w:hAnsi="David" w:cs="David"/>
          <w:sz w:val="24"/>
          <w:szCs w:val="24"/>
          <w:rtl/>
        </w:rPr>
      </w:pPr>
    </w:p>
    <w:p w:rsidR="00D81F92" w:rsidRPr="00D81F92" w:rsidRDefault="00D81F92" w:rsidP="00D81F92">
      <w:pPr>
        <w:numPr>
          <w:ilvl w:val="0"/>
          <w:numId w:val="1"/>
        </w:numPr>
        <w:spacing w:after="0" w:line="360" w:lineRule="auto"/>
        <w:contextualSpacing/>
        <w:jc w:val="both"/>
        <w:rPr>
          <w:rFonts w:ascii="David" w:eastAsia="Times New Roman" w:hAnsi="David" w:cs="David"/>
          <w:sz w:val="24"/>
          <w:szCs w:val="24"/>
        </w:rPr>
      </w:pPr>
      <w:r w:rsidRPr="00D81F92">
        <w:rPr>
          <w:rFonts w:ascii="David" w:eastAsia="Times New Roman" w:hAnsi="David" w:cs="David"/>
          <w:sz w:val="24"/>
          <w:szCs w:val="24"/>
          <w:rtl/>
        </w:rPr>
        <w:t>משבאתי לידי מסקנה זו, כי אז הערעור מתקבל, ואני מורה על ביטול ההחלטה מיום 13.04.2023.</w:t>
      </w:r>
    </w:p>
    <w:p w:rsidR="00D81F92" w:rsidRPr="00D81F92" w:rsidRDefault="00D81F92" w:rsidP="00D81F92">
      <w:pPr>
        <w:spacing w:after="0" w:line="240" w:lineRule="auto"/>
        <w:ind w:left="720"/>
        <w:contextualSpacing/>
        <w:rPr>
          <w:rFonts w:ascii="David" w:eastAsia="Times New Roman" w:hAnsi="David" w:cs="David"/>
          <w:sz w:val="24"/>
          <w:szCs w:val="24"/>
        </w:rPr>
      </w:pPr>
    </w:p>
    <w:p w:rsidR="00D81F92" w:rsidRPr="00D81F92" w:rsidRDefault="00D81F92" w:rsidP="00D81F92">
      <w:pPr>
        <w:numPr>
          <w:ilvl w:val="0"/>
          <w:numId w:val="1"/>
        </w:numPr>
        <w:spacing w:after="0" w:line="360" w:lineRule="auto"/>
        <w:contextualSpacing/>
        <w:jc w:val="both"/>
        <w:rPr>
          <w:rFonts w:ascii="David" w:eastAsia="Times New Roman" w:hAnsi="David" w:cs="David"/>
          <w:sz w:val="24"/>
          <w:szCs w:val="24"/>
          <w:rtl/>
        </w:rPr>
      </w:pPr>
      <w:r w:rsidRPr="00D81F92">
        <w:rPr>
          <w:rFonts w:ascii="David" w:eastAsia="Times New Roman" w:hAnsi="David" w:cs="David"/>
          <w:sz w:val="24"/>
          <w:szCs w:val="24"/>
          <w:rtl/>
        </w:rPr>
        <w:t xml:space="preserve">לפיכך, הדיון בבקשה </w:t>
      </w:r>
      <w:proofErr w:type="spellStart"/>
      <w:r w:rsidRPr="00D81F92">
        <w:rPr>
          <w:rFonts w:ascii="David" w:eastAsia="Times New Roman" w:hAnsi="David" w:cs="David"/>
          <w:sz w:val="24"/>
          <w:szCs w:val="24"/>
          <w:rtl/>
        </w:rPr>
        <w:t>לסעדים</w:t>
      </w:r>
      <w:proofErr w:type="spellEnd"/>
      <w:r w:rsidRPr="00D81F92">
        <w:rPr>
          <w:rFonts w:ascii="David" w:eastAsia="Times New Roman" w:hAnsi="David" w:cs="David"/>
          <w:sz w:val="24"/>
          <w:szCs w:val="24"/>
          <w:rtl/>
        </w:rPr>
        <w:t xml:space="preserve"> זמנים מוחזר בזאת לבית המשפט קמא, אשר יבררה בהתאם להבנתו ולשיקול דעתו, תוך התייחסות, בין השאר, גם לטענות הצדדים בעניין הזיקה בין </w:t>
      </w:r>
      <w:proofErr w:type="spellStart"/>
      <w:r w:rsidRPr="00D81F92">
        <w:rPr>
          <w:rFonts w:ascii="David" w:eastAsia="Times New Roman" w:hAnsi="David" w:cs="David"/>
          <w:sz w:val="24"/>
          <w:szCs w:val="24"/>
          <w:rtl/>
        </w:rPr>
        <w:t>הסעדים</w:t>
      </w:r>
      <w:proofErr w:type="spellEnd"/>
      <w:r w:rsidRPr="00D81F92">
        <w:rPr>
          <w:rFonts w:ascii="David" w:eastAsia="Times New Roman" w:hAnsi="David" w:cs="David"/>
          <w:sz w:val="24"/>
          <w:szCs w:val="24"/>
          <w:rtl/>
        </w:rPr>
        <w:t xml:space="preserve"> הזמניים </w:t>
      </w:r>
      <w:proofErr w:type="spellStart"/>
      <w:r w:rsidRPr="00D81F92">
        <w:rPr>
          <w:rFonts w:ascii="David" w:eastAsia="Times New Roman" w:hAnsi="David" w:cs="David"/>
          <w:sz w:val="24"/>
          <w:szCs w:val="24"/>
          <w:rtl/>
        </w:rPr>
        <w:t>והסעדים</w:t>
      </w:r>
      <w:proofErr w:type="spellEnd"/>
      <w:r w:rsidRPr="00D81F92">
        <w:rPr>
          <w:rFonts w:ascii="David" w:eastAsia="Times New Roman" w:hAnsi="David" w:cs="David"/>
          <w:sz w:val="24"/>
          <w:szCs w:val="24"/>
          <w:rtl/>
        </w:rPr>
        <w:t xml:space="preserve"> העיקריים שנתבעו ע"י המבקש, לגרסותיהם העובדתיות, לשאלת תום הלב וניקיון הכפיים של המבקש ולמאזן הנוחות. כן ייתן דעתו בית המשפט קמא לשאלה האם הסכסוך בין הצדדים משפיע על ניהולה התקין של החברה ועל צדדים שלישיים והאם יש נדרשת התערבותו בניהולה ובאיזה אופן.</w:t>
      </w:r>
    </w:p>
    <w:p w:rsidR="00D81F92" w:rsidRPr="00D81F92" w:rsidRDefault="00D81F92" w:rsidP="00D81F92">
      <w:pPr>
        <w:spacing w:after="0" w:line="240" w:lineRule="auto"/>
        <w:ind w:left="720"/>
        <w:contextualSpacing/>
        <w:rPr>
          <w:rFonts w:ascii="David" w:eastAsia="Times New Roman" w:hAnsi="David" w:cs="David"/>
          <w:sz w:val="24"/>
          <w:szCs w:val="24"/>
        </w:rPr>
      </w:pPr>
    </w:p>
    <w:p w:rsidR="00D81F92" w:rsidRPr="00D81F92" w:rsidRDefault="00D81F92" w:rsidP="00D81F92">
      <w:pPr>
        <w:spacing w:after="0" w:line="360" w:lineRule="auto"/>
        <w:ind w:left="720"/>
        <w:contextualSpacing/>
        <w:jc w:val="both"/>
        <w:rPr>
          <w:rFonts w:ascii="David" w:eastAsia="Times New Roman" w:hAnsi="David" w:cs="David"/>
          <w:sz w:val="24"/>
          <w:szCs w:val="24"/>
          <w:rtl/>
        </w:rPr>
      </w:pPr>
      <w:r w:rsidRPr="00D81F92">
        <w:rPr>
          <w:rFonts w:ascii="David" w:eastAsia="Times New Roman" w:hAnsi="David" w:cs="David"/>
          <w:sz w:val="24"/>
          <w:szCs w:val="24"/>
          <w:rtl/>
        </w:rPr>
        <w:t xml:space="preserve">מובהר, כי אין בכך משום מתן הוראות לבית המשפט קמא בעניין תוצאה כזו או אחרת של הכרעתו, והיא מסורה בידו בהתאם לשיקול דעתו ומכוח סמכותו.       </w:t>
      </w:r>
    </w:p>
    <w:p w:rsidR="00D81F92" w:rsidRPr="00D81F92" w:rsidRDefault="00D81F92" w:rsidP="00D81F92">
      <w:pPr>
        <w:spacing w:after="0" w:line="240" w:lineRule="auto"/>
        <w:ind w:left="720"/>
        <w:contextualSpacing/>
        <w:rPr>
          <w:rFonts w:ascii="David" w:eastAsia="Times New Roman" w:hAnsi="David" w:cs="David"/>
          <w:sz w:val="24"/>
          <w:szCs w:val="24"/>
        </w:rPr>
      </w:pPr>
    </w:p>
    <w:p w:rsidR="00D81F92" w:rsidRPr="00D81F92" w:rsidRDefault="00D81F92" w:rsidP="00D81F92">
      <w:pPr>
        <w:numPr>
          <w:ilvl w:val="0"/>
          <w:numId w:val="1"/>
        </w:numPr>
        <w:spacing w:after="0" w:line="360" w:lineRule="auto"/>
        <w:contextualSpacing/>
        <w:jc w:val="both"/>
        <w:rPr>
          <w:rFonts w:ascii="David" w:eastAsia="Times New Roman" w:hAnsi="David" w:cs="David"/>
          <w:sz w:val="24"/>
          <w:szCs w:val="24"/>
          <w:rtl/>
        </w:rPr>
      </w:pPr>
      <w:r w:rsidRPr="00D81F92">
        <w:rPr>
          <w:rFonts w:ascii="David" w:eastAsia="Times New Roman" w:hAnsi="David" w:cs="David"/>
          <w:sz w:val="24"/>
          <w:szCs w:val="24"/>
          <w:rtl/>
        </w:rPr>
        <w:t xml:space="preserve">המשיב 1 </w:t>
      </w:r>
      <w:proofErr w:type="spellStart"/>
      <w:r w:rsidRPr="00D81F92">
        <w:rPr>
          <w:rFonts w:ascii="David" w:eastAsia="Times New Roman" w:hAnsi="David" w:cs="David"/>
          <w:sz w:val="24"/>
          <w:szCs w:val="24"/>
          <w:rtl/>
        </w:rPr>
        <w:t>ישא</w:t>
      </w:r>
      <w:proofErr w:type="spellEnd"/>
      <w:r w:rsidRPr="00D81F92">
        <w:rPr>
          <w:rFonts w:ascii="David" w:eastAsia="Times New Roman" w:hAnsi="David" w:cs="David"/>
          <w:sz w:val="24"/>
          <w:szCs w:val="24"/>
          <w:rtl/>
        </w:rPr>
        <w:t xml:space="preserve"> בהוצאות המבקש בסך 3,500 ₪. </w:t>
      </w:r>
    </w:p>
    <w:p w:rsidR="00D81F92" w:rsidRPr="00D81F92" w:rsidRDefault="00D81F92" w:rsidP="00D81F92">
      <w:pPr>
        <w:spacing w:after="0" w:line="240" w:lineRule="auto"/>
        <w:ind w:left="720"/>
        <w:contextualSpacing/>
        <w:rPr>
          <w:rFonts w:ascii="David" w:eastAsia="Times New Roman" w:hAnsi="David" w:cs="David"/>
          <w:sz w:val="24"/>
          <w:szCs w:val="24"/>
          <w:rtl/>
        </w:rPr>
      </w:pPr>
    </w:p>
    <w:p w:rsidR="00D81F92" w:rsidRPr="00D81F92" w:rsidRDefault="00D81F92" w:rsidP="00D81F92">
      <w:pPr>
        <w:numPr>
          <w:ilvl w:val="0"/>
          <w:numId w:val="1"/>
        </w:numPr>
        <w:spacing w:after="0" w:line="360" w:lineRule="auto"/>
        <w:contextualSpacing/>
        <w:jc w:val="both"/>
        <w:rPr>
          <w:rFonts w:ascii="David" w:eastAsia="Times New Roman" w:hAnsi="David" w:cs="David"/>
          <w:sz w:val="24"/>
          <w:szCs w:val="24"/>
        </w:rPr>
      </w:pPr>
      <w:r w:rsidRPr="00D81F92">
        <w:rPr>
          <w:rFonts w:ascii="David" w:eastAsia="Times New Roman" w:hAnsi="David" w:cs="David"/>
          <w:sz w:val="24"/>
          <w:szCs w:val="24"/>
          <w:rtl/>
        </w:rPr>
        <w:t xml:space="preserve">העירבון, על פירותיו, יושב לידי המבקש. </w:t>
      </w:r>
    </w:p>
    <w:p w:rsidR="00D81F92" w:rsidRPr="00D81F92" w:rsidRDefault="00D81F92" w:rsidP="00D81F92">
      <w:pPr>
        <w:spacing w:after="0" w:line="240" w:lineRule="auto"/>
        <w:ind w:left="720"/>
        <w:contextualSpacing/>
        <w:rPr>
          <w:rFonts w:ascii="David" w:eastAsia="Times New Roman" w:hAnsi="David" w:cs="David"/>
          <w:sz w:val="24"/>
          <w:szCs w:val="24"/>
          <w:rtl/>
        </w:rPr>
      </w:pPr>
    </w:p>
    <w:p w:rsidR="00D81F92" w:rsidRPr="00D81F92" w:rsidRDefault="00D81F92" w:rsidP="00D81F92">
      <w:pPr>
        <w:numPr>
          <w:ilvl w:val="0"/>
          <w:numId w:val="1"/>
        </w:numPr>
        <w:spacing w:after="0" w:line="360" w:lineRule="auto"/>
        <w:contextualSpacing/>
        <w:jc w:val="both"/>
        <w:rPr>
          <w:rFonts w:ascii="David" w:eastAsia="Times New Roman" w:hAnsi="David" w:cs="David"/>
          <w:sz w:val="24"/>
          <w:szCs w:val="24"/>
        </w:rPr>
      </w:pPr>
      <w:r w:rsidRPr="00D81F92">
        <w:rPr>
          <w:rFonts w:ascii="David" w:eastAsia="Times New Roman" w:hAnsi="David" w:cs="David"/>
          <w:sz w:val="24"/>
          <w:szCs w:val="24"/>
          <w:rtl/>
        </w:rPr>
        <w:t>ההחלטה תומצא לצדדים באמצעות באי כוחם.</w:t>
      </w:r>
    </w:p>
    <w:p w:rsidR="00D81F92" w:rsidRPr="00D81F92" w:rsidRDefault="00D81F92" w:rsidP="00D81F92">
      <w:pPr>
        <w:spacing w:after="0" w:line="240" w:lineRule="auto"/>
        <w:ind w:left="720"/>
        <w:contextualSpacing/>
        <w:rPr>
          <w:rFonts w:ascii="David" w:eastAsia="Times New Roman" w:hAnsi="David" w:cs="David"/>
          <w:sz w:val="24"/>
          <w:szCs w:val="24"/>
          <w:rtl/>
        </w:rPr>
      </w:pPr>
    </w:p>
    <w:p w:rsidR="00D81F92" w:rsidRPr="00D81F92" w:rsidRDefault="00D81F92" w:rsidP="00D81F92">
      <w:pPr>
        <w:numPr>
          <w:ilvl w:val="0"/>
          <w:numId w:val="1"/>
        </w:numPr>
        <w:spacing w:after="0" w:line="360" w:lineRule="auto"/>
        <w:contextualSpacing/>
        <w:jc w:val="both"/>
        <w:rPr>
          <w:rFonts w:ascii="David" w:eastAsia="Times New Roman" w:hAnsi="David" w:cs="David"/>
          <w:sz w:val="24"/>
          <w:szCs w:val="24"/>
        </w:rPr>
      </w:pPr>
      <w:r w:rsidRPr="00D81F92">
        <w:rPr>
          <w:rFonts w:ascii="David" w:eastAsia="Times New Roman" w:hAnsi="David" w:cs="David"/>
          <w:sz w:val="24"/>
          <w:szCs w:val="24"/>
          <w:rtl/>
        </w:rPr>
        <w:t xml:space="preserve">ההחלטה ניתנת לפרסום תוך השמטת שמות הצדדים ופרטים מזהים נוספים. </w:t>
      </w:r>
    </w:p>
    <w:p w:rsidR="00D81F92" w:rsidRPr="00D81F92" w:rsidRDefault="00D81F92" w:rsidP="00D81F92">
      <w:pPr>
        <w:spacing w:after="0" w:line="360" w:lineRule="auto"/>
        <w:jc w:val="both"/>
        <w:rPr>
          <w:rFonts w:ascii="Arial" w:eastAsia="Times New Roman" w:hAnsi="Arial" w:cs="David"/>
          <w:sz w:val="24"/>
          <w:szCs w:val="24"/>
          <w:rtl/>
        </w:rPr>
      </w:pPr>
    </w:p>
    <w:p w:rsidR="00D81F92" w:rsidRPr="00D81F92" w:rsidRDefault="00D81F92" w:rsidP="00D81F92">
      <w:pPr>
        <w:spacing w:after="0" w:line="360" w:lineRule="auto"/>
        <w:jc w:val="both"/>
        <w:rPr>
          <w:rFonts w:ascii="Arial" w:eastAsia="Times New Roman" w:hAnsi="Arial" w:cs="David"/>
          <w:sz w:val="24"/>
          <w:szCs w:val="24"/>
          <w:rtl/>
        </w:rPr>
      </w:pPr>
      <w:r w:rsidRPr="00D81F92">
        <w:rPr>
          <w:rFonts w:ascii="Arial" w:eastAsia="Times New Roman" w:hAnsi="Arial" w:cs="David"/>
          <w:sz w:val="24"/>
          <w:szCs w:val="24"/>
          <w:rtl/>
        </w:rPr>
        <w:t xml:space="preserve">ניתנה היום, </w:t>
      </w:r>
      <w:sdt>
        <w:sdtPr>
          <w:rPr>
            <w:rFonts w:ascii="Times New Roman" w:eastAsia="Times New Roman" w:hAnsi="Times New Roman" w:cs="David"/>
            <w:noProof/>
            <w:sz w:val="24"/>
            <w:szCs w:val="24"/>
            <w:rtl/>
          </w:rPr>
          <w:alias w:val="1455"/>
          <w:tag w:val="1455"/>
          <w:id w:val="1666048407"/>
          <w:text w:multiLine="1"/>
        </w:sdtPr>
        <w:sdtEndPr/>
        <w:sdtContent>
          <w:r w:rsidRPr="00D81F92">
            <w:rPr>
              <w:rFonts w:ascii="Times New Roman" w:eastAsia="Times New Roman" w:hAnsi="Times New Roman" w:cs="David"/>
              <w:noProof/>
              <w:sz w:val="24"/>
              <w:szCs w:val="24"/>
              <w:rtl/>
            </w:rPr>
            <w:t>ט"ו אב תשפ"ג</w:t>
          </w:r>
        </w:sdtContent>
      </w:sdt>
      <w:r w:rsidRPr="00D81F92">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86288958"/>
          <w:text w:multiLine="1"/>
        </w:sdtPr>
        <w:sdtEndPr/>
        <w:sdtContent>
          <w:r w:rsidRPr="00D81F92">
            <w:rPr>
              <w:rFonts w:ascii="Times New Roman" w:eastAsia="Times New Roman" w:hAnsi="Times New Roman" w:cs="David"/>
              <w:noProof/>
              <w:sz w:val="24"/>
              <w:szCs w:val="24"/>
              <w:rtl/>
            </w:rPr>
            <w:t>02 אוגוסט 2023</w:t>
          </w:r>
        </w:sdtContent>
      </w:sdt>
      <w:r w:rsidRPr="00D81F92">
        <w:rPr>
          <w:rFonts w:ascii="Arial" w:eastAsia="Times New Roman" w:hAnsi="Arial" w:cs="David"/>
          <w:sz w:val="24"/>
          <w:szCs w:val="24"/>
          <w:rtl/>
        </w:rPr>
        <w:t>, בהעדר הצדדים.</w:t>
      </w:r>
    </w:p>
    <w:p w:rsidR="00D81F92" w:rsidRPr="00D81F92" w:rsidRDefault="002C7134" w:rsidP="00D81F92">
      <w:pPr>
        <w:tabs>
          <w:tab w:val="left" w:pos="2553"/>
        </w:tabs>
        <w:spacing w:after="0" w:line="240" w:lineRule="auto"/>
        <w:ind w:left="5040"/>
        <w:rPr>
          <w:rFonts w:ascii="Times New Roman" w:eastAsia="Times New Roman" w:hAnsi="Times New Roman" w:cs="David"/>
          <w:noProof/>
          <w:sz w:val="24"/>
          <w:szCs w:val="24"/>
          <w:rtl/>
        </w:rPr>
      </w:pPr>
      <w:sdt>
        <w:sdtPr>
          <w:rPr>
            <w:rFonts w:ascii="Times New Roman" w:eastAsia="Times New Roman" w:hAnsi="Times New Roman" w:cs="David"/>
            <w:noProof/>
            <w:sz w:val="24"/>
            <w:szCs w:val="24"/>
            <w:rtl/>
          </w:rPr>
          <w:alias w:val="2045"/>
          <w:tag w:val="2045"/>
          <w:id w:val="740689340"/>
          <w:placeholder>
            <w:docPart w:val="80EEAC55CC714B4299E001A780CED6B0"/>
          </w:placeholder>
          <w:showingPlcHdr/>
          <w:text w:multiLine="1"/>
        </w:sdtPr>
        <w:sdtEndPr/>
        <w:sdtContent>
          <w:r w:rsidR="00D81F92" w:rsidRPr="00D81F92">
            <w:rPr>
              <w:rFonts w:ascii="Times New Roman" w:eastAsia="Times New Roman" w:hAnsi="Times New Roman" w:cs="David"/>
              <w:noProof/>
              <w:sz w:val="24"/>
              <w:szCs w:val="24"/>
              <w:rtl/>
            </w:rPr>
            <w:t xml:space="preserve">     </w:t>
          </w:r>
        </w:sdtContent>
      </w:sdt>
    </w:p>
    <w:p w:rsidR="00D81F92" w:rsidRPr="00D81F92" w:rsidRDefault="00D81F92" w:rsidP="00D81F92">
      <w:pPr>
        <w:tabs>
          <w:tab w:val="left" w:pos="2553"/>
        </w:tabs>
        <w:spacing w:after="0" w:line="240" w:lineRule="auto"/>
        <w:rPr>
          <w:rFonts w:ascii="Times New Roman" w:eastAsia="Times New Roman" w:hAnsi="Times New Roman" w:cs="David"/>
          <w:noProof/>
          <w:sz w:val="24"/>
          <w:szCs w:val="24"/>
          <w:rtl/>
        </w:rPr>
      </w:pPr>
      <w:r w:rsidRPr="00D81F92">
        <w:rPr>
          <w:rFonts w:ascii="Times New Roman" w:eastAsia="Times New Roman" w:hAnsi="Times New Roman" w:cs="David"/>
          <w:noProof/>
          <w:sz w:val="24"/>
          <w:szCs w:val="24"/>
          <w:rtl/>
        </w:rPr>
        <w:tab/>
      </w:r>
      <w:r w:rsidRPr="00D81F92">
        <w:rPr>
          <w:rFonts w:ascii="Times New Roman" w:eastAsia="Times New Roman" w:hAnsi="Times New Roman" w:cs="David"/>
          <w:noProof/>
          <w:sz w:val="24"/>
          <w:szCs w:val="24"/>
          <w:rtl/>
        </w:rPr>
        <w:tab/>
      </w:r>
      <w:r w:rsidRPr="00D81F92">
        <w:rPr>
          <w:rFonts w:ascii="Times New Roman" w:eastAsia="Times New Roman" w:hAnsi="Times New Roman" w:cs="David"/>
          <w:noProof/>
          <w:sz w:val="24"/>
          <w:szCs w:val="24"/>
          <w:rtl/>
        </w:rPr>
        <w:tab/>
      </w:r>
      <w:r w:rsidRPr="00D81F92">
        <w:rPr>
          <w:rFonts w:ascii="Times New Roman" w:eastAsia="Times New Roman" w:hAnsi="Times New Roman" w:cs="David"/>
          <w:noProof/>
          <w:sz w:val="24"/>
          <w:szCs w:val="24"/>
          <w:rtl/>
        </w:rPr>
        <w:tab/>
        <w:t xml:space="preserve">        </w:t>
      </w:r>
      <w:sdt>
        <w:sdtPr>
          <w:rPr>
            <w:rFonts w:ascii="Times New Roman" w:eastAsia="Times New Roman" w:hAnsi="Times New Roman" w:cs="David"/>
            <w:noProof/>
            <w:sz w:val="24"/>
            <w:szCs w:val="24"/>
            <w:rtl/>
          </w:rPr>
          <w:alias w:val="MergeField"/>
          <w:tag w:val="1237"/>
          <w:id w:val="-1626844488"/>
        </w:sdtPr>
        <w:sdtEndPr/>
        <w:sdtContent>
          <w:r w:rsidRPr="00D81F92">
            <w:rPr>
              <w:rFonts w:ascii="Times New Roman" w:eastAsia="Times New Roman" w:hAnsi="Times New Roman" w:cs="David"/>
              <w:noProof/>
              <w:sz w:val="24"/>
              <w:szCs w:val="24"/>
            </w:rPr>
            <w:drawing>
              <wp:inline distT="0" distB="0" distL="0" distR="0" wp14:anchorId="2C057F25" wp14:editId="029A9487">
                <wp:extent cx="1666875" cy="1047750"/>
                <wp:effectExtent l="0" t="0" r="9525" b="0"/>
                <wp:docPr id="3"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D81F92" w:rsidRPr="00D81F92" w:rsidRDefault="00D81F92" w:rsidP="00D81F92">
      <w:pPr>
        <w:tabs>
          <w:tab w:val="left" w:pos="2553"/>
        </w:tabs>
        <w:spacing w:after="0" w:line="240" w:lineRule="auto"/>
        <w:rPr>
          <w:rFonts w:ascii="Arial" w:eastAsia="Times New Roman" w:hAnsi="Arial" w:cs="David"/>
          <w:sz w:val="24"/>
          <w:szCs w:val="24"/>
        </w:rPr>
      </w:pPr>
    </w:p>
    <w:p w:rsidR="000C3BE2" w:rsidRDefault="000C3BE2"/>
    <w:sectPr w:rsidR="000C3BE2"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142CE"/>
    <w:multiLevelType w:val="hybridMultilevel"/>
    <w:tmpl w:val="932212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F92"/>
    <w:rsid w:val="000C3BE2"/>
    <w:rsid w:val="002C7134"/>
    <w:rsid w:val="007F7E8E"/>
    <w:rsid w:val="00897C85"/>
    <w:rsid w:val="00AE2AF6"/>
    <w:rsid w:val="00D81F92"/>
    <w:rsid w:val="00F01B0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9BB7ED-7A14-4737-BB3A-45C7ACC92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81F9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54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B9266162A1A443AA6716DB74B3C27A8"/>
        <w:category>
          <w:name w:val="כללי"/>
          <w:gallery w:val="placeholder"/>
        </w:category>
        <w:types>
          <w:type w:val="bbPlcHdr"/>
        </w:types>
        <w:behaviors>
          <w:behavior w:val="content"/>
        </w:behaviors>
        <w:guid w:val="{A58D9C99-B195-43F0-8EEE-04C8FA4BA7B3}"/>
      </w:docPartPr>
      <w:docPartBody>
        <w:p w:rsidR="008A59D6" w:rsidRDefault="00551202" w:rsidP="00551202">
          <w:pPr>
            <w:pStyle w:val="0B9266162A1A443AA6716DB74B3C27A8"/>
          </w:pPr>
          <w:r>
            <w:rPr>
              <w:rFonts w:ascii="Arial" w:hAnsi="Arial"/>
              <w:b/>
              <w:bCs/>
              <w:sz w:val="26"/>
              <w:szCs w:val="26"/>
              <w:rtl/>
            </w:rPr>
            <w:t>שם צד א' ללא שם של חסוי</w:t>
          </w:r>
        </w:p>
      </w:docPartBody>
    </w:docPart>
    <w:docPart>
      <w:docPartPr>
        <w:name w:val="FFBFFFA5FC9E4CDA89B39AA6E9AC2D39"/>
        <w:category>
          <w:name w:val="כללי"/>
          <w:gallery w:val="placeholder"/>
        </w:category>
        <w:types>
          <w:type w:val="bbPlcHdr"/>
        </w:types>
        <w:behaviors>
          <w:behavior w:val="content"/>
        </w:behaviors>
        <w:guid w:val="{F2F48D3D-2364-4292-8994-A9BDF827BD38}"/>
      </w:docPartPr>
      <w:docPartBody>
        <w:p w:rsidR="008A59D6" w:rsidRDefault="00551202" w:rsidP="00551202">
          <w:pPr>
            <w:pStyle w:val="FFBFFFA5FC9E4CDA89B39AA6E9AC2D39"/>
          </w:pPr>
          <w:r>
            <w:rPr>
              <w:rFonts w:ascii="Arial" w:hAnsi="Arial"/>
              <w:b/>
              <w:bCs/>
              <w:sz w:val="26"/>
              <w:szCs w:val="26"/>
              <w:rtl/>
            </w:rPr>
            <w:t>שם צד ב' ללא שם של חסוי</w:t>
          </w:r>
        </w:p>
      </w:docPartBody>
    </w:docPart>
    <w:docPart>
      <w:docPartPr>
        <w:name w:val="80EEAC55CC714B4299E001A780CED6B0"/>
        <w:category>
          <w:name w:val="כללי"/>
          <w:gallery w:val="placeholder"/>
        </w:category>
        <w:types>
          <w:type w:val="bbPlcHdr"/>
        </w:types>
        <w:behaviors>
          <w:behavior w:val="content"/>
        </w:behaviors>
        <w:guid w:val="{DC866AF8-48FB-46D7-AF66-FC13A4C22BEF}"/>
      </w:docPartPr>
      <w:docPartBody>
        <w:p w:rsidR="008A59D6" w:rsidRDefault="00551202" w:rsidP="00551202">
          <w:pPr>
            <w:pStyle w:val="80EEAC55CC714B4299E001A780CED6B0"/>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202"/>
    <w:rsid w:val="00551202"/>
    <w:rsid w:val="008A59D6"/>
    <w:rsid w:val="00A541FE"/>
    <w:rsid w:val="00FF003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B9266162A1A443AA6716DB74B3C27A8">
    <w:name w:val="0B9266162A1A443AA6716DB74B3C27A8"/>
    <w:rsid w:val="00551202"/>
    <w:pPr>
      <w:bidi/>
    </w:pPr>
  </w:style>
  <w:style w:type="paragraph" w:customStyle="1" w:styleId="FFBFFFA5FC9E4CDA89B39AA6E9AC2D39">
    <w:name w:val="FFBFFFA5FC9E4CDA89B39AA6E9AC2D39"/>
    <w:rsid w:val="00551202"/>
    <w:pPr>
      <w:bidi/>
    </w:pPr>
  </w:style>
  <w:style w:type="paragraph" w:customStyle="1" w:styleId="80EEAC55CC714B4299E001A780CED6B0">
    <w:name w:val="80EEAC55CC714B4299E001A780CED6B0"/>
    <w:rsid w:val="0055120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2532</Words>
  <Characters>12660</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2023-08-08T12:01:00Z</dcterms:created>
  <dcterms:modified xsi:type="dcterms:W3CDTF">2023-08-08T12:01:00Z</dcterms:modified>
</cp:coreProperties>
</file>